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506BE" w14:textId="61CF2FD0" w:rsidR="00E1701A" w:rsidRDefault="00B32C7C" w:rsidP="00D02D53">
      <w:pPr>
        <w:pStyle w:val="Title"/>
        <w:jc w:val="both"/>
        <w:rPr>
          <w:b/>
          <w:lang w:val="en-GB"/>
        </w:rPr>
      </w:pPr>
      <w:r>
        <w:rPr>
          <w:b/>
          <w:noProof/>
          <w:lang w:val="en-GB"/>
        </w:rPr>
        <w:drawing>
          <wp:inline distT="0" distB="0" distL="0" distR="0" wp14:anchorId="646A2A28" wp14:editId="234EAF29">
            <wp:extent cx="2028825" cy="712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e-citizens-fund@4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492" cy="720012"/>
                    </a:xfrm>
                    <a:prstGeom prst="rect">
                      <a:avLst/>
                    </a:prstGeom>
                  </pic:spPr>
                </pic:pic>
              </a:graphicData>
            </a:graphic>
          </wp:inline>
        </w:drawing>
      </w:r>
    </w:p>
    <w:p w14:paraId="2230FCD1" w14:textId="77777777" w:rsidR="00B32C7C" w:rsidRDefault="00B32C7C" w:rsidP="00D02D53">
      <w:pPr>
        <w:pStyle w:val="Title"/>
        <w:jc w:val="both"/>
        <w:rPr>
          <w:b/>
          <w:lang w:val="en-GB"/>
        </w:rPr>
      </w:pPr>
    </w:p>
    <w:p w14:paraId="6505032B" w14:textId="3C968B76" w:rsidR="005F3E84" w:rsidRPr="00B32C7C" w:rsidRDefault="0025168A" w:rsidP="00D02D53">
      <w:pPr>
        <w:pStyle w:val="Title"/>
        <w:jc w:val="both"/>
        <w:rPr>
          <w:b/>
          <w:sz w:val="48"/>
          <w:szCs w:val="48"/>
          <w:lang w:val="en-GB"/>
        </w:rPr>
      </w:pPr>
      <w:r w:rsidRPr="00B32C7C">
        <w:rPr>
          <w:b/>
          <w:sz w:val="48"/>
          <w:szCs w:val="48"/>
          <w:lang w:val="en-GB"/>
        </w:rPr>
        <w:t>Active Citizens Fund</w:t>
      </w:r>
      <w:r w:rsidR="00350C56">
        <w:rPr>
          <w:b/>
          <w:sz w:val="48"/>
          <w:szCs w:val="48"/>
          <w:lang w:val="en-GB"/>
        </w:rPr>
        <w:t xml:space="preserve"> – </w:t>
      </w:r>
      <w:r w:rsidRPr="00B32C7C">
        <w:rPr>
          <w:b/>
          <w:sz w:val="48"/>
          <w:szCs w:val="48"/>
          <w:lang w:val="en-GB"/>
        </w:rPr>
        <w:t>Estonia</w:t>
      </w:r>
      <w:r w:rsidR="00350C56">
        <w:rPr>
          <w:b/>
          <w:sz w:val="48"/>
          <w:szCs w:val="48"/>
          <w:lang w:val="en-GB"/>
        </w:rPr>
        <w:t xml:space="preserve"> </w:t>
      </w:r>
    </w:p>
    <w:p w14:paraId="74E310B5" w14:textId="379EEA8E" w:rsidR="0025168A" w:rsidRPr="00B32C7C" w:rsidRDefault="005936DB" w:rsidP="00D02D53">
      <w:pPr>
        <w:pStyle w:val="Title"/>
        <w:jc w:val="both"/>
        <w:rPr>
          <w:b/>
          <w:sz w:val="48"/>
          <w:szCs w:val="48"/>
          <w:lang w:val="en-GB"/>
        </w:rPr>
      </w:pPr>
      <w:r w:rsidRPr="00B32C7C">
        <w:rPr>
          <w:b/>
          <w:sz w:val="48"/>
          <w:szCs w:val="48"/>
          <w:lang w:val="en-GB"/>
        </w:rPr>
        <w:t xml:space="preserve">Guidelines </w:t>
      </w:r>
      <w:r w:rsidR="00B75EDB" w:rsidRPr="00B32C7C">
        <w:rPr>
          <w:b/>
          <w:sz w:val="48"/>
          <w:szCs w:val="48"/>
          <w:lang w:val="en-GB"/>
        </w:rPr>
        <w:t xml:space="preserve">for </w:t>
      </w:r>
      <w:r w:rsidR="00125C7C" w:rsidRPr="00B32C7C">
        <w:rPr>
          <w:b/>
          <w:sz w:val="48"/>
          <w:szCs w:val="48"/>
          <w:lang w:val="en-GB"/>
        </w:rPr>
        <w:t>Applicants and Project Promoters</w:t>
      </w:r>
      <w:r w:rsidR="00FD5F5C">
        <w:rPr>
          <w:b/>
          <w:sz w:val="48"/>
          <w:szCs w:val="48"/>
          <w:lang w:val="en-GB"/>
        </w:rPr>
        <w:t xml:space="preserve"> of Institutional Grants</w:t>
      </w:r>
    </w:p>
    <w:p w14:paraId="1DCAC4DE" w14:textId="25093EA3" w:rsidR="0025168A" w:rsidRPr="00FD5F5C" w:rsidRDefault="0025168A" w:rsidP="00D02D53">
      <w:pPr>
        <w:jc w:val="both"/>
        <w:rPr>
          <w:lang w:val="en-GB"/>
        </w:rPr>
      </w:pPr>
    </w:p>
    <w:p w14:paraId="5D24F19A" w14:textId="77777777" w:rsidR="00DE769C" w:rsidRPr="008336CF" w:rsidRDefault="00DE769C" w:rsidP="00D02D53">
      <w:pPr>
        <w:jc w:val="both"/>
        <w:rPr>
          <w:lang w:val="en-GB"/>
        </w:rPr>
      </w:pPr>
    </w:p>
    <w:p w14:paraId="608EF20C" w14:textId="370F86C1" w:rsidR="00997E35" w:rsidRPr="008336CF" w:rsidRDefault="00CE2ED7" w:rsidP="00D02D53">
      <w:pPr>
        <w:pStyle w:val="Heading1"/>
        <w:jc w:val="both"/>
        <w:rPr>
          <w:lang w:val="en-GB"/>
        </w:rPr>
      </w:pPr>
      <w:r>
        <w:rPr>
          <w:lang w:val="en-GB"/>
        </w:rPr>
        <w:t>BACKGROUND</w:t>
      </w:r>
    </w:p>
    <w:p w14:paraId="66E8A361" w14:textId="7D39B55B" w:rsidR="00997E35" w:rsidRPr="008336CF" w:rsidRDefault="00997E35" w:rsidP="00997E35">
      <w:pPr>
        <w:spacing w:after="0"/>
        <w:jc w:val="both"/>
        <w:rPr>
          <w:color w:val="000000"/>
          <w:lang w:val="en-GB"/>
        </w:rPr>
      </w:pPr>
      <w:r w:rsidRPr="008336CF">
        <w:rPr>
          <w:color w:val="000000"/>
          <w:lang w:val="en-GB"/>
        </w:rPr>
        <w:t xml:space="preserve">Support to civil society is a key priority for </w:t>
      </w:r>
      <w:r w:rsidRPr="008336CF">
        <w:rPr>
          <w:b/>
          <w:color w:val="000000"/>
          <w:lang w:val="en-GB"/>
        </w:rPr>
        <w:t xml:space="preserve">the EEA Grants 2014-2021, </w:t>
      </w:r>
      <w:r w:rsidRPr="008336CF">
        <w:rPr>
          <w:color w:val="000000"/>
          <w:lang w:val="en-GB"/>
        </w:rPr>
        <w:t>funded by Iceland, Liechtenstein</w:t>
      </w:r>
      <w:r w:rsidR="00D70262">
        <w:rPr>
          <w:color w:val="000000"/>
          <w:lang w:val="en-GB"/>
        </w:rPr>
        <w:t>,</w:t>
      </w:r>
      <w:r w:rsidRPr="008336CF">
        <w:rPr>
          <w:color w:val="000000"/>
          <w:lang w:val="en-GB"/>
        </w:rPr>
        <w:t xml:space="preserve"> and Norway in 15 EU Member States in Central and Southern Europe and the Baltics. Ten per cent of the total country allocations is set aside for a programme for civil society in each beneficiary state. The Active Citizens Fund is established under the priority sector ‘Culture, Civil Society, Good Governance and Fundamental Rights and Freedoms’, one of </w:t>
      </w:r>
      <w:r w:rsidR="00D81C73">
        <w:rPr>
          <w:color w:val="000000"/>
          <w:lang w:val="en-GB"/>
        </w:rPr>
        <w:t xml:space="preserve">the </w:t>
      </w:r>
      <w:r w:rsidRPr="008336CF">
        <w:rPr>
          <w:color w:val="000000"/>
          <w:lang w:val="en-GB"/>
        </w:rPr>
        <w:t xml:space="preserve">five priority sectors agreed between the donors and the European Union. The fund shall contribute to the overall objectives of the EEA and Norway Grants, to reduce economic and social disparities, and to strengthen bilateral relations between the beneficiary and donor states. </w:t>
      </w:r>
    </w:p>
    <w:p w14:paraId="05D0A518" w14:textId="77777777" w:rsidR="00997E35" w:rsidRPr="008336CF" w:rsidRDefault="00997E35" w:rsidP="00997E35">
      <w:pPr>
        <w:spacing w:after="0"/>
        <w:jc w:val="both"/>
        <w:rPr>
          <w:color w:val="000000"/>
          <w:lang w:val="en-GB"/>
        </w:rPr>
      </w:pPr>
    </w:p>
    <w:p w14:paraId="11A53BC2" w14:textId="140FA624" w:rsidR="00FB5C33" w:rsidRPr="005E2F5C" w:rsidRDefault="008800ED" w:rsidP="00D02D53">
      <w:pPr>
        <w:spacing w:after="0"/>
        <w:jc w:val="both"/>
        <w:rPr>
          <w:rFonts w:asciiTheme="minorHAnsi" w:hAnsiTheme="minorHAnsi" w:cstheme="minorHAnsi"/>
          <w:lang w:val="en-GB"/>
        </w:rPr>
      </w:pPr>
      <w:r w:rsidRPr="008336CF">
        <w:rPr>
          <w:lang w:val="en-GB"/>
        </w:rPr>
        <w:t>The Open Estonia Foundation in consortium with the Network of Estonian Non-profit Organisations</w:t>
      </w:r>
      <w:r w:rsidR="00D81C73">
        <w:rPr>
          <w:lang w:val="en-GB"/>
        </w:rPr>
        <w:t xml:space="preserve"> (NENO)</w:t>
      </w:r>
      <w:r w:rsidRPr="008336CF">
        <w:rPr>
          <w:lang w:val="en-GB"/>
        </w:rPr>
        <w:t xml:space="preserve"> have been selected </w:t>
      </w:r>
      <w:r w:rsidRPr="00AD35F0">
        <w:rPr>
          <w:lang w:val="en-GB"/>
        </w:rPr>
        <w:t>as the</w:t>
      </w:r>
      <w:r w:rsidR="00BE32FF" w:rsidRPr="00AD35F0">
        <w:rPr>
          <w:lang w:val="en-GB"/>
        </w:rPr>
        <w:t xml:space="preserve"> </w:t>
      </w:r>
      <w:r w:rsidR="00FF43FE" w:rsidRPr="00AD35F0">
        <w:rPr>
          <w:lang w:val="en-GB"/>
        </w:rPr>
        <w:t>Fund Operator</w:t>
      </w:r>
      <w:r w:rsidR="00BE32FF" w:rsidRPr="00AD35F0">
        <w:rPr>
          <w:lang w:val="en-GB"/>
        </w:rPr>
        <w:t xml:space="preserve"> of the Active Citizens Fund in Estonia by the Financial Mechanism Office</w:t>
      </w:r>
      <w:r w:rsidR="00195982" w:rsidRPr="00AD35F0">
        <w:rPr>
          <w:lang w:val="en-GB"/>
        </w:rPr>
        <w:t xml:space="preserve">. </w:t>
      </w:r>
      <w:r w:rsidR="00034D71" w:rsidRPr="00AD35F0">
        <w:rPr>
          <w:lang w:val="en-GB"/>
        </w:rPr>
        <w:t>Between 2019 and 202</w:t>
      </w:r>
      <w:r w:rsidR="00D80651">
        <w:rPr>
          <w:lang w:val="en-GB"/>
        </w:rPr>
        <w:t>4</w:t>
      </w:r>
      <w:r w:rsidR="00034D71" w:rsidRPr="00AD35F0">
        <w:rPr>
          <w:lang w:val="en-GB"/>
        </w:rPr>
        <w:t xml:space="preserve"> a total of </w:t>
      </w:r>
      <w:r w:rsidR="00157870">
        <w:rPr>
          <w:lang w:val="en-GB"/>
        </w:rPr>
        <w:t>6</w:t>
      </w:r>
      <w:r w:rsidR="00642F21" w:rsidRPr="00AD35F0">
        <w:rPr>
          <w:lang w:val="en-GB"/>
        </w:rPr>
        <w:t xml:space="preserve"> million</w:t>
      </w:r>
      <w:r w:rsidR="00D81C73" w:rsidRPr="00AD35F0">
        <w:rPr>
          <w:lang w:val="en-GB"/>
        </w:rPr>
        <w:t xml:space="preserve"> EUR</w:t>
      </w:r>
      <w:r w:rsidR="00642F21" w:rsidRPr="00AD35F0">
        <w:rPr>
          <w:lang w:val="en-GB"/>
        </w:rPr>
        <w:t xml:space="preserve"> </w:t>
      </w:r>
      <w:r w:rsidR="00D6490D" w:rsidRPr="00AD35F0">
        <w:rPr>
          <w:lang w:val="en-GB"/>
        </w:rPr>
        <w:t xml:space="preserve">will be available </w:t>
      </w:r>
      <w:r w:rsidR="009C348F" w:rsidRPr="00AD35F0">
        <w:rPr>
          <w:lang w:val="en-GB"/>
        </w:rPr>
        <w:t xml:space="preserve">for Estonian </w:t>
      </w:r>
      <w:r w:rsidR="00CC4BC5" w:rsidRPr="00AD35F0">
        <w:rPr>
          <w:lang w:val="en-GB"/>
        </w:rPr>
        <w:t>CS</w:t>
      </w:r>
      <w:r w:rsidR="009C348F" w:rsidRPr="00AD35F0">
        <w:rPr>
          <w:lang w:val="en-GB"/>
        </w:rPr>
        <w:t xml:space="preserve">Os </w:t>
      </w:r>
      <w:r w:rsidR="00D6490D" w:rsidRPr="00AD35F0">
        <w:rPr>
          <w:lang w:val="en-GB"/>
        </w:rPr>
        <w:t xml:space="preserve">through </w:t>
      </w:r>
      <w:r w:rsidR="001F1F5F" w:rsidRPr="00AD35F0">
        <w:rPr>
          <w:lang w:val="en-GB"/>
        </w:rPr>
        <w:t xml:space="preserve">open calls </w:t>
      </w:r>
      <w:r w:rsidR="009C348F" w:rsidRPr="00AD35F0">
        <w:rPr>
          <w:lang w:val="en-GB"/>
        </w:rPr>
        <w:t xml:space="preserve">for proposals </w:t>
      </w:r>
      <w:r w:rsidR="001F1F5F" w:rsidRPr="00AD35F0">
        <w:rPr>
          <w:lang w:val="en-GB"/>
        </w:rPr>
        <w:t>and other support activities</w:t>
      </w:r>
      <w:r w:rsidR="006D5A4F" w:rsidRPr="00AD35F0">
        <w:rPr>
          <w:lang w:val="en-GB"/>
        </w:rPr>
        <w:t>.</w:t>
      </w:r>
      <w:r w:rsidR="00C47CC7">
        <w:rPr>
          <w:lang w:val="en-GB"/>
        </w:rPr>
        <w:t xml:space="preserve"> </w:t>
      </w:r>
      <w:r w:rsidR="00FB5C33" w:rsidRPr="005E2F5C">
        <w:rPr>
          <w:rFonts w:asciiTheme="minorHAnsi" w:hAnsiTheme="minorHAnsi" w:cstheme="minorHAnsi"/>
          <w:lang w:val="en-GB"/>
        </w:rPr>
        <w:t xml:space="preserve">The </w:t>
      </w:r>
      <w:r w:rsidR="00FB5C33" w:rsidRPr="005B21F0">
        <w:rPr>
          <w:rFonts w:asciiTheme="minorHAnsi" w:hAnsiTheme="minorHAnsi" w:cstheme="minorHAnsi"/>
          <w:lang w:val="en-GB"/>
        </w:rPr>
        <w:t xml:space="preserve">Programme </w:t>
      </w:r>
      <w:r w:rsidR="00FB5C33" w:rsidRPr="005E2F5C">
        <w:rPr>
          <w:rFonts w:asciiTheme="minorHAnsi" w:hAnsiTheme="minorHAnsi" w:cstheme="minorHAnsi"/>
          <w:lang w:val="en-GB"/>
        </w:rPr>
        <w:t>will be implemented by way of</w:t>
      </w:r>
      <w:r w:rsidR="00FF43FE" w:rsidRPr="005E2F5C">
        <w:rPr>
          <w:rFonts w:asciiTheme="minorHAnsi" w:hAnsiTheme="minorHAnsi" w:cstheme="minorHAnsi"/>
          <w:lang w:val="en-GB"/>
        </w:rPr>
        <w:t xml:space="preserve"> </w:t>
      </w:r>
      <w:r w:rsidR="002B38AE" w:rsidRPr="005E2F5C">
        <w:rPr>
          <w:rFonts w:asciiTheme="minorHAnsi" w:hAnsiTheme="minorHAnsi" w:cstheme="minorHAnsi"/>
          <w:lang w:val="en-GB"/>
        </w:rPr>
        <w:t xml:space="preserve">7 </w:t>
      </w:r>
      <w:r w:rsidR="00FB5C33" w:rsidRPr="005E2F5C">
        <w:rPr>
          <w:rFonts w:asciiTheme="minorHAnsi" w:hAnsiTheme="minorHAnsi" w:cstheme="minorHAnsi"/>
          <w:lang w:val="en-GB"/>
        </w:rPr>
        <w:t xml:space="preserve">open calls </w:t>
      </w:r>
      <w:r w:rsidR="005B21F0" w:rsidRPr="005E2F5C">
        <w:rPr>
          <w:rFonts w:asciiTheme="minorHAnsi" w:hAnsiTheme="minorHAnsi" w:cstheme="minorHAnsi"/>
          <w:lang w:val="en-GB"/>
        </w:rPr>
        <w:t>for proposals</w:t>
      </w:r>
      <w:r w:rsidR="002B38AE" w:rsidRPr="005E2F5C">
        <w:rPr>
          <w:rFonts w:asciiTheme="minorHAnsi" w:hAnsiTheme="minorHAnsi" w:cstheme="minorHAnsi"/>
          <w:lang w:val="en-GB"/>
        </w:rPr>
        <w:t xml:space="preserve"> and 1 </w:t>
      </w:r>
      <w:r w:rsidR="00804DC4" w:rsidRPr="005E2F5C">
        <w:rPr>
          <w:rFonts w:asciiTheme="minorHAnsi" w:hAnsiTheme="minorHAnsi" w:cstheme="minorHAnsi"/>
          <w:lang w:val="en-GB"/>
        </w:rPr>
        <w:t>pre-defined project</w:t>
      </w:r>
      <w:r w:rsidR="00FB5C33" w:rsidRPr="005E2F5C">
        <w:rPr>
          <w:rFonts w:asciiTheme="minorHAnsi" w:hAnsiTheme="minorHAnsi" w:cstheme="minorHAnsi"/>
          <w:lang w:val="en-GB"/>
        </w:rPr>
        <w:t>. In addition, there will be activities aimed at capacity building during project preparation and project implementation phases conducted by consortium partner NENO.</w:t>
      </w:r>
    </w:p>
    <w:p w14:paraId="37657EAE" w14:textId="77777777" w:rsidR="00C47CC7" w:rsidRPr="00C47CC7" w:rsidRDefault="00C47CC7" w:rsidP="00D02D53">
      <w:pPr>
        <w:spacing w:after="0"/>
        <w:jc w:val="both"/>
        <w:rPr>
          <w:lang w:val="en-GB"/>
        </w:rPr>
      </w:pPr>
    </w:p>
    <w:p w14:paraId="16F3E4C6" w14:textId="1355EEEC" w:rsidR="005F3E84" w:rsidRPr="00CB03B3" w:rsidRDefault="005B21F0" w:rsidP="00D02D53">
      <w:pPr>
        <w:spacing w:after="0"/>
        <w:jc w:val="both"/>
        <w:rPr>
          <w:bCs/>
          <w:lang w:val="en-GB"/>
        </w:rPr>
      </w:pPr>
      <w:r w:rsidRPr="005E2F5C">
        <w:rPr>
          <w:rFonts w:asciiTheme="minorHAnsi" w:eastAsia="Times New Roman,MS Mincho" w:hAnsiTheme="minorHAnsi" w:cstheme="minorHAnsi"/>
          <w:lang w:val="en-GB" w:eastAsia="fr-FR"/>
        </w:rPr>
        <w:t xml:space="preserve">The overall </w:t>
      </w:r>
      <w:r w:rsidR="0060125D" w:rsidRPr="005E2F5C">
        <w:rPr>
          <w:rFonts w:asciiTheme="minorHAnsi" w:eastAsia="Times New Roman,MS Mincho" w:hAnsiTheme="minorHAnsi" w:cstheme="minorHAnsi"/>
          <w:lang w:val="en-GB" w:eastAsia="fr-FR"/>
        </w:rPr>
        <w:t>objective</w:t>
      </w:r>
      <w:r w:rsidRPr="005E2F5C">
        <w:rPr>
          <w:rFonts w:asciiTheme="minorHAnsi" w:eastAsia="Times New Roman,MS Mincho" w:hAnsiTheme="minorHAnsi" w:cstheme="minorHAnsi"/>
          <w:lang w:val="en-GB" w:eastAsia="fr-FR"/>
        </w:rPr>
        <w:t xml:space="preserve"> of the Active Citizens Fund </w:t>
      </w:r>
      <w:r w:rsidR="0060125D" w:rsidRPr="005E2F5C">
        <w:rPr>
          <w:rFonts w:asciiTheme="minorHAnsi" w:eastAsia="Times New Roman,MS Mincho" w:hAnsiTheme="minorHAnsi" w:cstheme="minorHAnsi"/>
          <w:lang w:val="en-GB" w:eastAsia="fr-FR"/>
        </w:rPr>
        <w:t>–</w:t>
      </w:r>
      <w:r w:rsidRPr="005E2F5C">
        <w:rPr>
          <w:rFonts w:asciiTheme="minorHAnsi" w:eastAsia="Times New Roman,MS Mincho" w:hAnsiTheme="minorHAnsi" w:cstheme="minorHAnsi"/>
          <w:lang w:val="en-GB" w:eastAsia="fr-FR"/>
        </w:rPr>
        <w:t xml:space="preserve"> Estonia</w:t>
      </w:r>
      <w:r w:rsidR="0060125D" w:rsidRPr="005E2F5C">
        <w:rPr>
          <w:rFonts w:asciiTheme="minorHAnsi" w:eastAsia="Times New Roman,MS Mincho" w:hAnsiTheme="minorHAnsi" w:cstheme="minorHAnsi"/>
          <w:lang w:val="en-GB" w:eastAsia="fr-FR"/>
        </w:rPr>
        <w:t xml:space="preserve"> is</w:t>
      </w:r>
      <w:r w:rsidR="005F3E84" w:rsidRPr="008336CF">
        <w:rPr>
          <w:lang w:val="en-GB"/>
        </w:rPr>
        <w:t xml:space="preserve"> civil society and active citizenship strengthened</w:t>
      </w:r>
      <w:r w:rsidR="0060125D">
        <w:rPr>
          <w:lang w:val="en-GB"/>
        </w:rPr>
        <w:t>,</w:t>
      </w:r>
      <w:r w:rsidR="005F3E84" w:rsidRPr="008336CF">
        <w:rPr>
          <w:lang w:val="en-GB"/>
        </w:rPr>
        <w:t xml:space="preserve"> and vulnerable groups empowered. More specifically, the pro</w:t>
      </w:r>
      <w:r w:rsidR="00396A90">
        <w:rPr>
          <w:lang w:val="en-GB"/>
        </w:rPr>
        <w:t xml:space="preserve">jects funded through </w:t>
      </w:r>
      <w:r w:rsidR="00CB5B68">
        <w:rPr>
          <w:lang w:val="en-GB"/>
        </w:rPr>
        <w:t>the Pro</w:t>
      </w:r>
      <w:r w:rsidR="005F3E84" w:rsidRPr="008336CF">
        <w:rPr>
          <w:lang w:val="en-GB"/>
        </w:rPr>
        <w:t xml:space="preserve">gramme </w:t>
      </w:r>
      <w:r w:rsidR="003E0BE7">
        <w:rPr>
          <w:lang w:val="en-GB"/>
        </w:rPr>
        <w:t>shall contribute to</w:t>
      </w:r>
      <w:r w:rsidR="00820C27">
        <w:rPr>
          <w:lang w:val="en-GB"/>
        </w:rPr>
        <w:t xml:space="preserve"> the </w:t>
      </w:r>
      <w:r w:rsidR="009932A9" w:rsidRPr="008336CF">
        <w:rPr>
          <w:lang w:val="en-GB"/>
        </w:rPr>
        <w:t xml:space="preserve">following </w:t>
      </w:r>
      <w:r w:rsidR="00396A90" w:rsidRPr="00CB03B3">
        <w:rPr>
          <w:bCs/>
          <w:lang w:val="en-GB"/>
        </w:rPr>
        <w:t>O</w:t>
      </w:r>
      <w:r w:rsidR="008336CF" w:rsidRPr="00CB03B3">
        <w:rPr>
          <w:bCs/>
          <w:lang w:val="en-GB"/>
        </w:rPr>
        <w:t>utcomes</w:t>
      </w:r>
      <w:r w:rsidR="005F3E84" w:rsidRPr="00CB03B3">
        <w:rPr>
          <w:bCs/>
          <w:lang w:val="en-GB"/>
        </w:rPr>
        <w:t>:</w:t>
      </w:r>
    </w:p>
    <w:p w14:paraId="6F67FB99" w14:textId="48741CE7" w:rsidR="005F3E84" w:rsidRPr="00C47CC7" w:rsidRDefault="005F3E84" w:rsidP="00D02D53">
      <w:pPr>
        <w:pStyle w:val="ListParagraph"/>
        <w:numPr>
          <w:ilvl w:val="0"/>
          <w:numId w:val="4"/>
        </w:numPr>
        <w:jc w:val="both"/>
        <w:rPr>
          <w:b/>
          <w:i/>
          <w:lang w:val="en-GB"/>
        </w:rPr>
      </w:pPr>
      <w:r w:rsidRPr="00C47CC7">
        <w:rPr>
          <w:b/>
          <w:i/>
          <w:lang w:val="en-GB"/>
        </w:rPr>
        <w:t xml:space="preserve">Strengthened democratic culture and civic awareness </w:t>
      </w:r>
    </w:p>
    <w:p w14:paraId="528B5139" w14:textId="1319D9E8" w:rsidR="005F3E84" w:rsidRPr="00C47CC7" w:rsidRDefault="005F3E84" w:rsidP="00D02D53">
      <w:pPr>
        <w:pStyle w:val="ListParagraph"/>
        <w:numPr>
          <w:ilvl w:val="0"/>
          <w:numId w:val="4"/>
        </w:numPr>
        <w:jc w:val="both"/>
        <w:rPr>
          <w:b/>
          <w:i/>
          <w:lang w:val="en-GB"/>
        </w:rPr>
      </w:pPr>
      <w:r w:rsidRPr="00C47CC7">
        <w:rPr>
          <w:b/>
          <w:i/>
          <w:lang w:val="en-GB"/>
        </w:rPr>
        <w:t>Increased support for human rights</w:t>
      </w:r>
      <w:r w:rsidR="00521878" w:rsidRPr="00C47CC7">
        <w:rPr>
          <w:b/>
          <w:i/>
          <w:lang w:val="en-GB"/>
        </w:rPr>
        <w:t xml:space="preserve"> and equal treatment</w:t>
      </w:r>
    </w:p>
    <w:p w14:paraId="3953FC7C" w14:textId="63A55C49" w:rsidR="005F3E84" w:rsidRPr="00C47CC7" w:rsidRDefault="005F3E84" w:rsidP="00D02D53">
      <w:pPr>
        <w:pStyle w:val="ListParagraph"/>
        <w:numPr>
          <w:ilvl w:val="0"/>
          <w:numId w:val="4"/>
        </w:numPr>
        <w:jc w:val="both"/>
        <w:rPr>
          <w:b/>
          <w:i/>
          <w:lang w:val="en-GB"/>
        </w:rPr>
      </w:pPr>
      <w:r w:rsidRPr="00C47CC7">
        <w:rPr>
          <w:b/>
          <w:i/>
          <w:lang w:val="en-GB"/>
        </w:rPr>
        <w:t>Vulnerable groups empowered</w:t>
      </w:r>
    </w:p>
    <w:p w14:paraId="5E02E453" w14:textId="74E84D30" w:rsidR="000D48DC" w:rsidRPr="00C47CC7" w:rsidRDefault="005F3E84" w:rsidP="00D02D53">
      <w:pPr>
        <w:pStyle w:val="ListParagraph"/>
        <w:numPr>
          <w:ilvl w:val="0"/>
          <w:numId w:val="4"/>
        </w:numPr>
        <w:spacing w:after="0"/>
        <w:jc w:val="both"/>
        <w:rPr>
          <w:b/>
          <w:i/>
          <w:lang w:val="en-GB"/>
        </w:rPr>
      </w:pPr>
      <w:r w:rsidRPr="00C47CC7">
        <w:rPr>
          <w:b/>
          <w:i/>
          <w:lang w:val="en-GB"/>
        </w:rPr>
        <w:t>Enhanced capacity and sustainability of civil society</w:t>
      </w:r>
    </w:p>
    <w:p w14:paraId="4F908BB5" w14:textId="77777777" w:rsidR="00C47CC7" w:rsidRDefault="00C47CC7" w:rsidP="00D02D53">
      <w:pPr>
        <w:spacing w:after="0"/>
        <w:jc w:val="both"/>
        <w:rPr>
          <w:lang w:val="en-GB"/>
        </w:rPr>
      </w:pPr>
    </w:p>
    <w:p w14:paraId="608870B3" w14:textId="37082C19" w:rsidR="004F3BAA" w:rsidRPr="008336CF" w:rsidRDefault="000D48DC" w:rsidP="00D02D53">
      <w:pPr>
        <w:spacing w:after="0"/>
        <w:jc w:val="both"/>
        <w:rPr>
          <w:lang w:val="en-GB"/>
        </w:rPr>
      </w:pPr>
      <w:r w:rsidRPr="008336CF">
        <w:rPr>
          <w:lang w:val="en-GB"/>
        </w:rPr>
        <w:t>As cross-cutting concern</w:t>
      </w:r>
      <w:r w:rsidR="00E7023B" w:rsidRPr="008336CF">
        <w:rPr>
          <w:lang w:val="en-GB"/>
        </w:rPr>
        <w:t>s</w:t>
      </w:r>
      <w:r w:rsidRPr="008336CF">
        <w:rPr>
          <w:lang w:val="en-GB"/>
        </w:rPr>
        <w:t>, the Programme</w:t>
      </w:r>
      <w:r w:rsidR="009325F1">
        <w:rPr>
          <w:lang w:val="en-GB"/>
        </w:rPr>
        <w:t xml:space="preserve"> encourages </w:t>
      </w:r>
      <w:r w:rsidR="009709C8">
        <w:rPr>
          <w:lang w:val="en-GB"/>
        </w:rPr>
        <w:t>the following across all outcomes</w:t>
      </w:r>
      <w:r w:rsidRPr="008336CF">
        <w:rPr>
          <w:lang w:val="en-GB"/>
        </w:rPr>
        <w:t>:</w:t>
      </w:r>
    </w:p>
    <w:p w14:paraId="5968F94B" w14:textId="55744ED5" w:rsidR="000D48DC" w:rsidRDefault="000D48DC" w:rsidP="00D02D53">
      <w:pPr>
        <w:pStyle w:val="ListParagraph"/>
        <w:numPr>
          <w:ilvl w:val="0"/>
          <w:numId w:val="5"/>
        </w:numPr>
        <w:spacing w:after="0"/>
        <w:jc w:val="both"/>
        <w:rPr>
          <w:lang w:val="en-GB"/>
        </w:rPr>
      </w:pPr>
      <w:r w:rsidRPr="008336CF">
        <w:rPr>
          <w:lang w:val="en-GB"/>
        </w:rPr>
        <w:t>Youth inclusion</w:t>
      </w:r>
    </w:p>
    <w:p w14:paraId="6A01366A" w14:textId="3013E506" w:rsidR="00FF43FE" w:rsidRPr="00AD35F0" w:rsidRDefault="00FF43FE" w:rsidP="00D02D53">
      <w:pPr>
        <w:pStyle w:val="ListParagraph"/>
        <w:numPr>
          <w:ilvl w:val="0"/>
          <w:numId w:val="5"/>
        </w:numPr>
        <w:spacing w:after="0"/>
        <w:jc w:val="both"/>
        <w:rPr>
          <w:lang w:val="en-GB"/>
        </w:rPr>
      </w:pPr>
      <w:r w:rsidRPr="00AD35F0">
        <w:rPr>
          <w:lang w:val="en-GB"/>
        </w:rPr>
        <w:t>Strengthen the capacity and sustainability of the civil society sector</w:t>
      </w:r>
    </w:p>
    <w:p w14:paraId="5BC8D6A7" w14:textId="4330DE85" w:rsidR="000D48DC" w:rsidRPr="00AD35F0" w:rsidRDefault="000D48DC" w:rsidP="00D02D53">
      <w:pPr>
        <w:pStyle w:val="Default"/>
        <w:numPr>
          <w:ilvl w:val="0"/>
          <w:numId w:val="5"/>
        </w:numPr>
        <w:jc w:val="both"/>
        <w:rPr>
          <w:lang w:val="en-GB"/>
        </w:rPr>
      </w:pPr>
      <w:r w:rsidRPr="00AD35F0">
        <w:rPr>
          <w:sz w:val="22"/>
          <w:szCs w:val="22"/>
          <w:lang w:val="en-GB"/>
        </w:rPr>
        <w:t xml:space="preserve">Outreach to under-served geographic areas and target groups </w:t>
      </w:r>
    </w:p>
    <w:p w14:paraId="29820F07" w14:textId="24AE1277" w:rsidR="007F0C2D" w:rsidRPr="00AD35F0" w:rsidRDefault="00FF43FE" w:rsidP="00D02D53">
      <w:pPr>
        <w:pStyle w:val="ListParagraph"/>
        <w:numPr>
          <w:ilvl w:val="0"/>
          <w:numId w:val="5"/>
        </w:numPr>
        <w:spacing w:after="0"/>
        <w:jc w:val="both"/>
        <w:rPr>
          <w:lang w:val="en-GB"/>
        </w:rPr>
      </w:pPr>
      <w:r w:rsidRPr="00AD35F0">
        <w:rPr>
          <w:lang w:val="en-GB"/>
        </w:rPr>
        <w:t>Focus on</w:t>
      </w:r>
      <w:r w:rsidR="009709C8" w:rsidRPr="00AD35F0">
        <w:rPr>
          <w:lang w:val="en-GB"/>
        </w:rPr>
        <w:t xml:space="preserve"> i</w:t>
      </w:r>
      <w:r w:rsidR="000D48DC" w:rsidRPr="00AD35F0">
        <w:rPr>
          <w:lang w:val="en-GB"/>
        </w:rPr>
        <w:t xml:space="preserve">ntercultural understanding with special </w:t>
      </w:r>
      <w:r w:rsidRPr="00AD35F0">
        <w:rPr>
          <w:lang w:val="en-GB"/>
        </w:rPr>
        <w:t>emphasis</w:t>
      </w:r>
      <w:r w:rsidR="000D48DC" w:rsidRPr="00AD35F0">
        <w:rPr>
          <w:lang w:val="en-GB"/>
        </w:rPr>
        <w:t xml:space="preserve"> on national minorities</w:t>
      </w:r>
    </w:p>
    <w:p w14:paraId="08877F1E" w14:textId="77777777" w:rsidR="00C47CC7" w:rsidRDefault="00C47CC7" w:rsidP="00D02D53">
      <w:pPr>
        <w:spacing w:after="0"/>
        <w:jc w:val="both"/>
        <w:rPr>
          <w:rFonts w:asciiTheme="minorHAnsi" w:hAnsiTheme="minorHAnsi" w:cstheme="minorHAnsi"/>
          <w:lang w:val="en-GB"/>
        </w:rPr>
      </w:pPr>
    </w:p>
    <w:p w14:paraId="75B39259" w14:textId="282402AD" w:rsidR="00EC038D" w:rsidRPr="003F403C" w:rsidRDefault="00EC038D" w:rsidP="00D02D53">
      <w:pPr>
        <w:jc w:val="both"/>
        <w:rPr>
          <w:rFonts w:asciiTheme="minorHAnsi" w:hAnsiTheme="minorHAnsi" w:cstheme="minorHAnsi"/>
          <w:lang w:val="en-GB"/>
        </w:rPr>
      </w:pPr>
      <w:r w:rsidRPr="00EC038D">
        <w:rPr>
          <w:rFonts w:asciiTheme="minorHAnsi" w:hAnsiTheme="minorHAnsi" w:cstheme="minorHAnsi"/>
          <w:lang w:val="en-GB"/>
        </w:rPr>
        <w:lastRenderedPageBreak/>
        <w:t>The Programme is based on the common values of respect for human dignity, freedom, democracy, equality, the rule of law and respect for human rights, including the rights of persons belonging to minorities.</w:t>
      </w:r>
    </w:p>
    <w:p w14:paraId="1ABF8DDF" w14:textId="69B15DD9" w:rsidR="00CF5B9E" w:rsidRDefault="00CF5B9E" w:rsidP="009053E3">
      <w:pPr>
        <w:jc w:val="both"/>
        <w:rPr>
          <w:lang w:val="en-GB"/>
        </w:rPr>
      </w:pPr>
    </w:p>
    <w:p w14:paraId="546A2F76" w14:textId="205B2A95" w:rsidR="00CE2ED7" w:rsidRPr="005E2F5C" w:rsidRDefault="00CE2ED7" w:rsidP="00D02D53">
      <w:pPr>
        <w:pStyle w:val="Heading1"/>
        <w:jc w:val="both"/>
        <w:rPr>
          <w:lang w:val="en-GB"/>
        </w:rPr>
      </w:pPr>
      <w:r w:rsidRPr="005E2F5C">
        <w:rPr>
          <w:lang w:val="en-GB"/>
        </w:rPr>
        <w:t>Op</w:t>
      </w:r>
      <w:r w:rsidR="007E142E" w:rsidRPr="005E2F5C">
        <w:rPr>
          <w:lang w:val="en-GB"/>
        </w:rPr>
        <w:t>en call for institutional grants</w:t>
      </w:r>
    </w:p>
    <w:p w14:paraId="1082B1C9" w14:textId="4A47E406" w:rsidR="00C702A4" w:rsidRDefault="007D1836" w:rsidP="00D02D53">
      <w:pPr>
        <w:jc w:val="both"/>
        <w:rPr>
          <w:rFonts w:asciiTheme="minorHAnsi" w:eastAsia="Times New Roman,MS Mincho" w:hAnsiTheme="minorHAnsi" w:cstheme="minorHAnsi"/>
          <w:lang w:val="en-GB" w:eastAsia="fr-FR"/>
        </w:rPr>
      </w:pPr>
      <w:r>
        <w:rPr>
          <w:rFonts w:asciiTheme="minorHAnsi" w:eastAsia="Times New Roman,MS Mincho" w:hAnsiTheme="minorHAnsi" w:cstheme="minorHAnsi"/>
          <w:lang w:val="en-GB" w:eastAsia="fr-FR"/>
        </w:rPr>
        <w:t xml:space="preserve">The aim of the Open Call for Institutional Grants is to </w:t>
      </w:r>
      <w:r w:rsidR="00C431B7">
        <w:rPr>
          <w:rFonts w:asciiTheme="minorHAnsi" w:eastAsia="Times New Roman,MS Mincho" w:hAnsiTheme="minorHAnsi" w:cstheme="minorHAnsi"/>
          <w:lang w:val="en-GB" w:eastAsia="fr-FR"/>
        </w:rPr>
        <w:t xml:space="preserve">support </w:t>
      </w:r>
      <w:r w:rsidR="007428AD">
        <w:rPr>
          <w:rFonts w:asciiTheme="minorHAnsi" w:eastAsia="Times New Roman,MS Mincho" w:hAnsiTheme="minorHAnsi" w:cstheme="minorHAnsi"/>
          <w:lang w:val="en-GB" w:eastAsia="fr-FR"/>
        </w:rPr>
        <w:t xml:space="preserve">medium-sized </w:t>
      </w:r>
      <w:r w:rsidR="007D6928">
        <w:rPr>
          <w:rFonts w:asciiTheme="minorHAnsi" w:eastAsia="Times New Roman,MS Mincho" w:hAnsiTheme="minorHAnsi" w:cstheme="minorHAnsi"/>
          <w:lang w:val="en-GB" w:eastAsia="fr-FR"/>
        </w:rPr>
        <w:t>advocacy and watchdog organisations (NGOs)</w:t>
      </w:r>
      <w:r w:rsidR="00E72B82">
        <w:rPr>
          <w:rFonts w:asciiTheme="minorHAnsi" w:eastAsia="Times New Roman,MS Mincho" w:hAnsiTheme="minorHAnsi" w:cstheme="minorHAnsi"/>
          <w:lang w:val="en-GB" w:eastAsia="fr-FR"/>
        </w:rPr>
        <w:t xml:space="preserve"> </w:t>
      </w:r>
      <w:r w:rsidR="00F61A32">
        <w:rPr>
          <w:rFonts w:asciiTheme="minorHAnsi" w:eastAsia="Times New Roman,MS Mincho" w:hAnsiTheme="minorHAnsi" w:cstheme="minorHAnsi"/>
          <w:lang w:val="en-GB" w:eastAsia="fr-FR"/>
        </w:rPr>
        <w:t xml:space="preserve">in selected areas of support </w:t>
      </w:r>
      <w:r w:rsidR="006906FC">
        <w:rPr>
          <w:rFonts w:asciiTheme="minorHAnsi" w:eastAsia="Times New Roman,MS Mincho" w:hAnsiTheme="minorHAnsi" w:cstheme="minorHAnsi"/>
          <w:lang w:val="en-GB" w:eastAsia="fr-FR"/>
        </w:rPr>
        <w:t xml:space="preserve">in achieving their strategic objectives while also </w:t>
      </w:r>
      <w:r w:rsidR="00E44A0B" w:rsidRPr="005E2F5C">
        <w:rPr>
          <w:rFonts w:asciiTheme="minorHAnsi" w:eastAsia="Times New Roman,MS Mincho" w:hAnsiTheme="minorHAnsi" w:cstheme="minorHAnsi"/>
          <w:lang w:val="en-GB" w:eastAsia="fr-FR"/>
        </w:rPr>
        <w:t xml:space="preserve">focussing </w:t>
      </w:r>
      <w:r w:rsidR="002A2A46" w:rsidRPr="005E2F5C">
        <w:rPr>
          <w:rFonts w:asciiTheme="minorHAnsi" w:eastAsia="Times New Roman,MS Mincho" w:hAnsiTheme="minorHAnsi" w:cstheme="minorHAnsi"/>
          <w:lang w:val="en-GB" w:eastAsia="fr-FR"/>
        </w:rPr>
        <w:t>on</w:t>
      </w:r>
      <w:r w:rsidR="00F25625">
        <w:rPr>
          <w:rFonts w:asciiTheme="minorHAnsi" w:eastAsia="Times New Roman,MS Mincho" w:hAnsiTheme="minorHAnsi" w:cstheme="minorHAnsi"/>
          <w:lang w:val="en-GB" w:eastAsia="fr-FR"/>
        </w:rPr>
        <w:t xml:space="preserve"> capacity building and sustainability.</w:t>
      </w:r>
    </w:p>
    <w:p w14:paraId="164E1C3C" w14:textId="46EEDB41" w:rsidR="008719F6" w:rsidRDefault="008719F6" w:rsidP="00D02D53">
      <w:pPr>
        <w:jc w:val="both"/>
        <w:rPr>
          <w:rFonts w:asciiTheme="minorHAnsi" w:eastAsia="Times New Roman,MS Mincho" w:hAnsiTheme="minorHAnsi" w:cstheme="minorHAnsi"/>
          <w:lang w:val="en-GB" w:eastAsia="fr-FR"/>
        </w:rPr>
      </w:pPr>
      <w:r>
        <w:rPr>
          <w:rFonts w:asciiTheme="minorHAnsi" w:eastAsia="Times New Roman,MS Mincho" w:hAnsiTheme="minorHAnsi" w:cstheme="minorHAnsi"/>
          <w:lang w:val="en-GB" w:eastAsia="fr-FR"/>
        </w:rPr>
        <w:t>The total budget of the call is EUR 500,000. It is foreseen that the Fund Op</w:t>
      </w:r>
      <w:r w:rsidR="006B30B4">
        <w:rPr>
          <w:rFonts w:asciiTheme="minorHAnsi" w:eastAsia="Times New Roman,MS Mincho" w:hAnsiTheme="minorHAnsi" w:cstheme="minorHAnsi"/>
          <w:lang w:val="en-GB" w:eastAsia="fr-FR"/>
        </w:rPr>
        <w:t>erator will support a total of 5 organisation</w:t>
      </w:r>
      <w:r w:rsidR="00D06C34">
        <w:rPr>
          <w:rFonts w:asciiTheme="minorHAnsi" w:eastAsia="Times New Roman,MS Mincho" w:hAnsiTheme="minorHAnsi" w:cstheme="minorHAnsi"/>
          <w:lang w:val="en-GB" w:eastAsia="fr-FR"/>
        </w:rPr>
        <w:t>s</w:t>
      </w:r>
      <w:r w:rsidR="00243D96">
        <w:rPr>
          <w:rFonts w:asciiTheme="minorHAnsi" w:eastAsia="Times New Roman,MS Mincho" w:hAnsiTheme="minorHAnsi" w:cstheme="minorHAnsi"/>
          <w:lang w:val="en-GB" w:eastAsia="fr-FR"/>
        </w:rPr>
        <w:t xml:space="preserve"> in the maximum amount of EUR 100,000 </w:t>
      </w:r>
      <w:r w:rsidR="008A517D">
        <w:rPr>
          <w:rFonts w:asciiTheme="minorHAnsi" w:eastAsia="Times New Roman,MS Mincho" w:hAnsiTheme="minorHAnsi" w:cstheme="minorHAnsi"/>
          <w:lang w:val="en-GB" w:eastAsia="fr-FR"/>
        </w:rPr>
        <w:t>during the period of</w:t>
      </w:r>
      <w:r w:rsidR="00314273">
        <w:rPr>
          <w:rFonts w:asciiTheme="minorHAnsi" w:eastAsia="Times New Roman,MS Mincho" w:hAnsiTheme="minorHAnsi" w:cstheme="minorHAnsi"/>
          <w:lang w:val="en-GB" w:eastAsia="fr-FR"/>
        </w:rPr>
        <w:t xml:space="preserve"> 24 months</w:t>
      </w:r>
      <w:r w:rsidR="00A536DF">
        <w:rPr>
          <w:rFonts w:asciiTheme="minorHAnsi" w:eastAsia="Times New Roman,MS Mincho" w:hAnsiTheme="minorHAnsi" w:cstheme="minorHAnsi"/>
          <w:lang w:val="en-GB" w:eastAsia="fr-FR"/>
        </w:rPr>
        <w:t>:</w:t>
      </w:r>
    </w:p>
    <w:tbl>
      <w:tblPr>
        <w:tblStyle w:val="TableGrid"/>
        <w:tblW w:w="0" w:type="auto"/>
        <w:tblLook w:val="04A0" w:firstRow="1" w:lastRow="0" w:firstColumn="1" w:lastColumn="0" w:noHBand="0" w:noVBand="1"/>
      </w:tblPr>
      <w:tblGrid>
        <w:gridCol w:w="4531"/>
        <w:gridCol w:w="4531"/>
      </w:tblGrid>
      <w:tr w:rsidR="00A536DF" w14:paraId="572D1859" w14:textId="77777777" w:rsidTr="00A536DF">
        <w:tc>
          <w:tcPr>
            <w:tcW w:w="4531" w:type="dxa"/>
          </w:tcPr>
          <w:p w14:paraId="609A23D3" w14:textId="1635EEFC" w:rsidR="00A536DF" w:rsidRDefault="00A536DF" w:rsidP="00D02D53">
            <w:pPr>
              <w:jc w:val="both"/>
              <w:rPr>
                <w:rFonts w:asciiTheme="minorHAnsi" w:eastAsia="Times New Roman,MS Mincho" w:hAnsiTheme="minorHAnsi" w:cstheme="minorHAnsi"/>
                <w:lang w:val="en-GB" w:eastAsia="fr-FR"/>
              </w:rPr>
            </w:pPr>
            <w:r>
              <w:rPr>
                <w:rFonts w:asciiTheme="minorHAnsi" w:eastAsia="Times New Roman,MS Mincho" w:hAnsiTheme="minorHAnsi" w:cstheme="minorHAnsi"/>
                <w:lang w:val="en-GB" w:eastAsia="fr-FR"/>
              </w:rPr>
              <w:t>Expected outcome</w:t>
            </w:r>
          </w:p>
        </w:tc>
        <w:tc>
          <w:tcPr>
            <w:tcW w:w="4531" w:type="dxa"/>
          </w:tcPr>
          <w:p w14:paraId="145D37A9" w14:textId="39A0DB38" w:rsidR="00A536DF" w:rsidRDefault="00A536DF" w:rsidP="00D02D53">
            <w:pPr>
              <w:jc w:val="both"/>
              <w:rPr>
                <w:rFonts w:asciiTheme="minorHAnsi" w:eastAsia="Times New Roman,MS Mincho" w:hAnsiTheme="minorHAnsi" w:cstheme="minorHAnsi"/>
                <w:lang w:val="en-GB" w:eastAsia="fr-FR"/>
              </w:rPr>
            </w:pPr>
            <w:r>
              <w:rPr>
                <w:rFonts w:asciiTheme="minorHAnsi" w:eastAsia="Times New Roman,MS Mincho" w:hAnsiTheme="minorHAnsi" w:cstheme="minorHAnsi"/>
                <w:lang w:val="en-GB" w:eastAsia="fr-FR"/>
              </w:rPr>
              <w:t>Indicative budget per outcome</w:t>
            </w:r>
          </w:p>
        </w:tc>
      </w:tr>
      <w:tr w:rsidR="00A536DF" w14:paraId="0FBF79DD" w14:textId="77777777" w:rsidTr="00A536DF">
        <w:tc>
          <w:tcPr>
            <w:tcW w:w="4531" w:type="dxa"/>
          </w:tcPr>
          <w:p w14:paraId="780BF2E2" w14:textId="26170057" w:rsidR="00A536DF" w:rsidRPr="00A536DF" w:rsidRDefault="00A536DF" w:rsidP="00D02D53">
            <w:pPr>
              <w:jc w:val="both"/>
              <w:rPr>
                <w:rFonts w:asciiTheme="minorHAnsi" w:eastAsia="Times New Roman,MS Mincho" w:hAnsiTheme="minorHAnsi" w:cstheme="minorHAnsi"/>
                <w:bCs/>
                <w:i/>
                <w:iCs/>
                <w:lang w:val="en-GB" w:eastAsia="fr-FR"/>
              </w:rPr>
            </w:pPr>
            <w:r w:rsidRPr="005E2F5C">
              <w:rPr>
                <w:i/>
                <w:color w:val="000000"/>
                <w:lang w:val="en-GB" w:eastAsia="en-GB"/>
              </w:rPr>
              <w:t>Strengthened democratic culture and civic awareness</w:t>
            </w:r>
          </w:p>
        </w:tc>
        <w:tc>
          <w:tcPr>
            <w:tcW w:w="4531" w:type="dxa"/>
          </w:tcPr>
          <w:p w14:paraId="7D71BF29" w14:textId="14717F3C" w:rsidR="00A536DF" w:rsidRDefault="00A536DF" w:rsidP="00D02D53">
            <w:pPr>
              <w:jc w:val="both"/>
              <w:rPr>
                <w:rFonts w:asciiTheme="minorHAnsi" w:eastAsia="Times New Roman,MS Mincho" w:hAnsiTheme="minorHAnsi" w:cstheme="minorHAnsi"/>
                <w:lang w:val="en-GB" w:eastAsia="fr-FR"/>
              </w:rPr>
            </w:pPr>
            <w:r>
              <w:rPr>
                <w:rFonts w:asciiTheme="minorHAnsi" w:eastAsia="Times New Roman,MS Mincho" w:hAnsiTheme="minorHAnsi" w:cstheme="minorHAnsi"/>
                <w:lang w:val="en-GB" w:eastAsia="fr-FR"/>
              </w:rPr>
              <w:t>EUR 300,000</w:t>
            </w:r>
          </w:p>
        </w:tc>
      </w:tr>
      <w:tr w:rsidR="00A536DF" w14:paraId="1B7C4F75" w14:textId="77777777" w:rsidTr="00A536DF">
        <w:tc>
          <w:tcPr>
            <w:tcW w:w="4531" w:type="dxa"/>
          </w:tcPr>
          <w:p w14:paraId="3FB2D167" w14:textId="5ED886C4" w:rsidR="00A536DF" w:rsidRPr="00A536DF" w:rsidRDefault="00A536DF" w:rsidP="00D02D53">
            <w:pPr>
              <w:jc w:val="both"/>
              <w:rPr>
                <w:rFonts w:asciiTheme="minorHAnsi" w:eastAsia="Times New Roman,MS Mincho" w:hAnsiTheme="minorHAnsi" w:cstheme="minorHAnsi"/>
                <w:bCs/>
                <w:i/>
                <w:iCs/>
                <w:lang w:val="en-GB" w:eastAsia="fr-FR"/>
              </w:rPr>
            </w:pPr>
            <w:r w:rsidRPr="005E2F5C">
              <w:rPr>
                <w:i/>
                <w:color w:val="000000"/>
                <w:lang w:val="en-GB" w:eastAsia="en-GB"/>
              </w:rPr>
              <w:t>Increased support for human rights (and equal treatment)</w:t>
            </w:r>
          </w:p>
        </w:tc>
        <w:tc>
          <w:tcPr>
            <w:tcW w:w="4531" w:type="dxa"/>
          </w:tcPr>
          <w:p w14:paraId="4A182626" w14:textId="72720F83" w:rsidR="00A536DF" w:rsidRDefault="00A536DF" w:rsidP="00D02D53">
            <w:pPr>
              <w:jc w:val="both"/>
              <w:rPr>
                <w:rFonts w:asciiTheme="minorHAnsi" w:eastAsia="Times New Roman,MS Mincho" w:hAnsiTheme="minorHAnsi" w:cstheme="minorHAnsi"/>
                <w:lang w:val="en-GB" w:eastAsia="fr-FR"/>
              </w:rPr>
            </w:pPr>
            <w:r>
              <w:rPr>
                <w:rFonts w:asciiTheme="minorHAnsi" w:eastAsia="Times New Roman,MS Mincho" w:hAnsiTheme="minorHAnsi" w:cstheme="minorHAnsi"/>
                <w:lang w:val="en-GB" w:eastAsia="fr-FR"/>
              </w:rPr>
              <w:t>EUR 200,000</w:t>
            </w:r>
          </w:p>
        </w:tc>
      </w:tr>
    </w:tbl>
    <w:p w14:paraId="0AA4F31E" w14:textId="6B625954" w:rsidR="00A536DF" w:rsidRDefault="00A536DF" w:rsidP="00D02D53">
      <w:pPr>
        <w:jc w:val="both"/>
        <w:rPr>
          <w:rFonts w:asciiTheme="minorHAnsi" w:eastAsia="Times New Roman,MS Mincho" w:hAnsiTheme="minorHAnsi" w:cstheme="minorHAnsi"/>
          <w:lang w:val="en-GB" w:eastAsia="fr-FR"/>
        </w:rPr>
      </w:pPr>
    </w:p>
    <w:p w14:paraId="3709D278" w14:textId="31CCF31E" w:rsidR="00A536DF" w:rsidRDefault="008E23A1" w:rsidP="00D02D53">
      <w:pPr>
        <w:pStyle w:val="Heading2"/>
        <w:jc w:val="both"/>
        <w:rPr>
          <w:rFonts w:eastAsia="Times New Roman,MS Mincho"/>
          <w:lang w:eastAsia="fr-FR"/>
        </w:rPr>
      </w:pPr>
      <w:r>
        <w:rPr>
          <w:rFonts w:eastAsia="Times New Roman,MS Mincho"/>
          <w:lang w:eastAsia="fr-FR"/>
        </w:rPr>
        <w:t>Eligible applicants</w:t>
      </w:r>
    </w:p>
    <w:p w14:paraId="099BF6B0" w14:textId="77777777" w:rsidR="000E27D2" w:rsidRPr="00AD35F0" w:rsidRDefault="000E27D2" w:rsidP="00D02D53">
      <w:pPr>
        <w:jc w:val="both"/>
        <w:rPr>
          <w:lang w:val="en-GB"/>
        </w:rPr>
      </w:pPr>
      <w:r w:rsidRPr="008336CF">
        <w:rPr>
          <w:lang w:val="en-GB"/>
        </w:rPr>
        <w:t xml:space="preserve">Eligible applicants for grants under the ACF Estonia are </w:t>
      </w:r>
      <w:r>
        <w:rPr>
          <w:lang w:val="en-GB"/>
        </w:rPr>
        <w:t xml:space="preserve">organisations </w:t>
      </w:r>
      <w:r w:rsidRPr="00AD35F0">
        <w:rPr>
          <w:lang w:val="en-GB"/>
        </w:rPr>
        <w:t xml:space="preserve">registered as Non-profit associations (Non-profit Associations Act) and Foundations (Foundations Act) in Estonia, are considered </w:t>
      </w:r>
      <w:r w:rsidRPr="00AD35F0">
        <w:rPr>
          <w:b/>
          <w:lang w:val="en-GB"/>
        </w:rPr>
        <w:t xml:space="preserve">non-governmental organisations </w:t>
      </w:r>
      <w:r w:rsidRPr="00AD35F0">
        <w:rPr>
          <w:lang w:val="en-GB"/>
        </w:rPr>
        <w:t xml:space="preserve">and thus are eligible to apply </w:t>
      </w:r>
      <w:proofErr w:type="gramStart"/>
      <w:r w:rsidRPr="00AD35F0">
        <w:rPr>
          <w:lang w:val="en-GB"/>
        </w:rPr>
        <w:t>as long as</w:t>
      </w:r>
      <w:proofErr w:type="gramEnd"/>
      <w:r w:rsidRPr="00AD35F0">
        <w:rPr>
          <w:lang w:val="en-GB"/>
        </w:rPr>
        <w:t xml:space="preserve"> they fulfil the requirements set in Section 7.1 of the Manual for Fund Operators:</w:t>
      </w:r>
    </w:p>
    <w:p w14:paraId="3F53632D" w14:textId="77777777" w:rsidR="000E27D2" w:rsidRPr="00AD35F0" w:rsidRDefault="000E27D2" w:rsidP="00D02D53">
      <w:pPr>
        <w:pStyle w:val="ListParagraph"/>
        <w:numPr>
          <w:ilvl w:val="0"/>
          <w:numId w:val="24"/>
        </w:numPr>
        <w:jc w:val="both"/>
        <w:rPr>
          <w:lang w:val="en-GB"/>
        </w:rPr>
      </w:pPr>
      <w:r w:rsidRPr="001C3B3A">
        <w:rPr>
          <w:lang w:val="en-GB"/>
        </w:rPr>
        <w:t>Are non-profit, being organisations that have not been created nor operate to generate personal profit. Although they may have paid staff and may engage in revenue-generating activities, they do not distribute profits to their members nor to their board. Where revenue</w:t>
      </w:r>
      <w:r>
        <w:rPr>
          <w:lang w:val="en-GB"/>
        </w:rPr>
        <w:t xml:space="preserve"> </w:t>
      </w:r>
      <w:r w:rsidRPr="001C3B3A">
        <w:rPr>
          <w:lang w:val="en-GB"/>
        </w:rPr>
        <w:t xml:space="preserve">generating activities are undertaken, these should not represent the purpose of the NGO, but should be a means to support its mission and values </w:t>
      </w:r>
    </w:p>
    <w:p w14:paraId="7D1099C0" w14:textId="77777777" w:rsidR="000E27D2" w:rsidRPr="00AD35F0" w:rsidRDefault="000E27D2" w:rsidP="00D02D53">
      <w:pPr>
        <w:pStyle w:val="ListParagraph"/>
        <w:numPr>
          <w:ilvl w:val="0"/>
          <w:numId w:val="24"/>
        </w:numPr>
        <w:jc w:val="both"/>
        <w:rPr>
          <w:lang w:val="en-GB"/>
        </w:rPr>
      </w:pPr>
      <w:r w:rsidRPr="001C3B3A">
        <w:rPr>
          <w:lang w:val="en-GB"/>
        </w:rPr>
        <w:t xml:space="preserve">Have members who do not have any direct commercial interest in the outcome of the work of the organisation or of its commercial activities and should not pursue the commercial or professional interests of their members. This requirement therefore excludes trade- and professional associations, where the aims and purposes of the association is to further the specific interests of its members only </w:t>
      </w:r>
    </w:p>
    <w:p w14:paraId="00E743E1" w14:textId="77777777" w:rsidR="000E27D2" w:rsidRPr="00AD35F0" w:rsidRDefault="000E27D2" w:rsidP="00D02D53">
      <w:pPr>
        <w:pStyle w:val="ListParagraph"/>
        <w:numPr>
          <w:ilvl w:val="0"/>
          <w:numId w:val="24"/>
        </w:numPr>
        <w:jc w:val="both"/>
        <w:rPr>
          <w:lang w:val="en-GB"/>
        </w:rPr>
      </w:pPr>
      <w:r w:rsidRPr="001C3B3A">
        <w:rPr>
          <w:lang w:val="en-GB"/>
        </w:rPr>
        <w:t xml:space="preserve">Are voluntary in nature, formed voluntarily by groups or individuals and usually involving an element of voluntary participation in the organisation </w:t>
      </w:r>
    </w:p>
    <w:p w14:paraId="4323BC38" w14:textId="1B1B9E2B" w:rsidR="000E27D2" w:rsidRPr="00AD35F0" w:rsidRDefault="000E27D2" w:rsidP="00D02D53">
      <w:pPr>
        <w:pStyle w:val="ListParagraph"/>
        <w:numPr>
          <w:ilvl w:val="0"/>
          <w:numId w:val="24"/>
        </w:numPr>
        <w:jc w:val="both"/>
        <w:rPr>
          <w:lang w:val="en-GB"/>
        </w:rPr>
      </w:pPr>
      <w:r w:rsidRPr="001C3B3A">
        <w:rPr>
          <w:lang w:val="en-GB"/>
        </w:rPr>
        <w:t>Act in the public arena and for the public good on concerns and issues related to the wellbeing of people, groups</w:t>
      </w:r>
      <w:r w:rsidR="00FB4743">
        <w:rPr>
          <w:lang w:val="en-GB"/>
        </w:rPr>
        <w:t>,</w:t>
      </w:r>
      <w:r w:rsidRPr="001C3B3A">
        <w:rPr>
          <w:lang w:val="en-GB"/>
        </w:rPr>
        <w:t xml:space="preserve"> or society as a whole </w:t>
      </w:r>
    </w:p>
    <w:p w14:paraId="4CF89400" w14:textId="7A19FBE4" w:rsidR="000E27D2" w:rsidRPr="00AD35F0" w:rsidRDefault="000E27D2" w:rsidP="00D02D53">
      <w:pPr>
        <w:pStyle w:val="ListParagraph"/>
        <w:numPr>
          <w:ilvl w:val="0"/>
          <w:numId w:val="24"/>
        </w:numPr>
        <w:jc w:val="both"/>
        <w:rPr>
          <w:lang w:val="en-GB"/>
        </w:rPr>
      </w:pPr>
      <w:r w:rsidRPr="001C3B3A">
        <w:rPr>
          <w:lang w:val="en-GB"/>
        </w:rPr>
        <w:t>Have some degree of formal or institutional existence, unlike informal or ad hoc groups, involving formal statutes or other governing document(s) defining their mission, objectives</w:t>
      </w:r>
      <w:r w:rsidR="00FB4743">
        <w:rPr>
          <w:lang w:val="en-GB"/>
        </w:rPr>
        <w:t>,</w:t>
      </w:r>
      <w:r w:rsidRPr="001C3B3A">
        <w:rPr>
          <w:lang w:val="en-GB"/>
        </w:rPr>
        <w:t xml:space="preserve"> and scope </w:t>
      </w:r>
    </w:p>
    <w:p w14:paraId="77529944" w14:textId="77777777" w:rsidR="000E27D2" w:rsidRPr="00AD35F0" w:rsidRDefault="000E27D2" w:rsidP="00D02D53">
      <w:pPr>
        <w:pStyle w:val="ListParagraph"/>
        <w:numPr>
          <w:ilvl w:val="0"/>
          <w:numId w:val="24"/>
        </w:numPr>
        <w:jc w:val="both"/>
        <w:rPr>
          <w:lang w:val="en-GB"/>
        </w:rPr>
      </w:pPr>
      <w:r w:rsidRPr="001C3B3A">
        <w:rPr>
          <w:lang w:val="en-GB"/>
        </w:rPr>
        <w:t xml:space="preserve">Have transparent structures and elected chair/board, and are accountable to their members and donors </w:t>
      </w:r>
    </w:p>
    <w:p w14:paraId="36CEBAAB" w14:textId="0D8FA9AC" w:rsidR="000E27D2" w:rsidRPr="00AD35F0" w:rsidRDefault="000E27D2" w:rsidP="00D02D53">
      <w:pPr>
        <w:pStyle w:val="ListParagraph"/>
        <w:numPr>
          <w:ilvl w:val="0"/>
          <w:numId w:val="24"/>
        </w:numPr>
        <w:jc w:val="both"/>
        <w:rPr>
          <w:lang w:val="en-GB"/>
        </w:rPr>
      </w:pPr>
      <w:r w:rsidRPr="001C3B3A">
        <w:rPr>
          <w:lang w:val="en-GB"/>
        </w:rPr>
        <w:t>Are independent of local, regional</w:t>
      </w:r>
      <w:r w:rsidR="00FB4743">
        <w:rPr>
          <w:lang w:val="en-GB"/>
        </w:rPr>
        <w:t>,</w:t>
      </w:r>
      <w:r w:rsidRPr="001C3B3A">
        <w:rPr>
          <w:lang w:val="en-GB"/>
        </w:rPr>
        <w:t xml:space="preserve"> and national government and other public authorities </w:t>
      </w:r>
    </w:p>
    <w:p w14:paraId="33DBFA6E" w14:textId="5B6CDAFD" w:rsidR="000E27D2" w:rsidRDefault="000E27D2" w:rsidP="00D02D53">
      <w:pPr>
        <w:pStyle w:val="ListParagraph"/>
        <w:numPr>
          <w:ilvl w:val="0"/>
          <w:numId w:val="24"/>
        </w:numPr>
        <w:spacing w:after="0"/>
        <w:jc w:val="both"/>
        <w:rPr>
          <w:lang w:val="en-GB"/>
        </w:rPr>
      </w:pPr>
      <w:r w:rsidRPr="001C3B3A">
        <w:rPr>
          <w:lang w:val="en-GB"/>
        </w:rPr>
        <w:t>Are independent of political parties and commercial organisations Political parties, religious institutions, social partners</w:t>
      </w:r>
      <w:r w:rsidR="00FB4743">
        <w:rPr>
          <w:lang w:val="en-GB"/>
        </w:rPr>
        <w:t>,</w:t>
      </w:r>
      <w:r w:rsidRPr="001C3B3A">
        <w:rPr>
          <w:lang w:val="en-GB"/>
        </w:rPr>
        <w:t xml:space="preserve"> or profit-distributing cooperatives are not considered NGOs.</w:t>
      </w:r>
    </w:p>
    <w:p w14:paraId="6C28D5EC" w14:textId="77777777" w:rsidR="000502CE" w:rsidRPr="000502CE" w:rsidRDefault="000502CE" w:rsidP="00D02D53">
      <w:pPr>
        <w:spacing w:after="0"/>
        <w:jc w:val="both"/>
        <w:rPr>
          <w:lang w:val="en-GB"/>
        </w:rPr>
      </w:pPr>
    </w:p>
    <w:p w14:paraId="2C9AB794" w14:textId="418CCD0C" w:rsidR="00DC4F7A" w:rsidRDefault="00DC4F7A" w:rsidP="00083DD8">
      <w:pPr>
        <w:pStyle w:val="Heading2"/>
        <w:numPr>
          <w:ilvl w:val="0"/>
          <w:numId w:val="0"/>
        </w:numPr>
        <w:spacing w:before="0"/>
        <w:ind w:left="576" w:hanging="576"/>
        <w:jc w:val="both"/>
      </w:pPr>
      <w:r w:rsidRPr="000502CE">
        <w:t xml:space="preserve">Additional criteria of eligibility </w:t>
      </w:r>
      <w:r w:rsidR="000502CE">
        <w:t xml:space="preserve">of applicants </w:t>
      </w:r>
      <w:r w:rsidR="000502CE" w:rsidRPr="000502CE">
        <w:t xml:space="preserve">under the Call for Institutional Grants </w:t>
      </w:r>
    </w:p>
    <w:p w14:paraId="51A32B43" w14:textId="600D4F91" w:rsidR="000502CE" w:rsidRDefault="00BE2AAB" w:rsidP="00D02D53">
      <w:pPr>
        <w:jc w:val="both"/>
        <w:rPr>
          <w:lang w:val="en-GB"/>
        </w:rPr>
      </w:pPr>
      <w:r>
        <w:rPr>
          <w:lang w:val="en-GB"/>
        </w:rPr>
        <w:lastRenderedPageBreak/>
        <w:t>Eligible applicants must:</w:t>
      </w:r>
    </w:p>
    <w:p w14:paraId="07E6B8FF" w14:textId="713CEA05" w:rsidR="00BE2AAB" w:rsidRDefault="00BE2AAB" w:rsidP="00D02D53">
      <w:pPr>
        <w:pStyle w:val="ListParagraph"/>
        <w:numPr>
          <w:ilvl w:val="0"/>
          <w:numId w:val="24"/>
        </w:numPr>
        <w:jc w:val="both"/>
        <w:rPr>
          <w:lang w:val="en-GB"/>
        </w:rPr>
      </w:pPr>
      <w:r>
        <w:rPr>
          <w:lang w:val="en-GB"/>
        </w:rPr>
        <w:t>have a legal personality</w:t>
      </w:r>
      <w:r w:rsidR="00E77536">
        <w:rPr>
          <w:lang w:val="en-GB"/>
        </w:rPr>
        <w:t xml:space="preserve"> for at least 60 months before the day of the deadline for submitting applications (this will be checked against </w:t>
      </w:r>
      <w:r w:rsidR="00573B98">
        <w:rPr>
          <w:lang w:val="en-GB"/>
        </w:rPr>
        <w:t>the records of the Estonian e-Business Register)</w:t>
      </w:r>
      <w:r w:rsidR="00746DB4">
        <w:rPr>
          <w:lang w:val="en-GB"/>
        </w:rPr>
        <w:t>; and</w:t>
      </w:r>
    </w:p>
    <w:p w14:paraId="3E60E030" w14:textId="06649454" w:rsidR="005370C0" w:rsidRPr="00170900" w:rsidRDefault="00746DB4" w:rsidP="00D02D53">
      <w:pPr>
        <w:pStyle w:val="ListParagraph"/>
        <w:numPr>
          <w:ilvl w:val="0"/>
          <w:numId w:val="24"/>
        </w:numPr>
        <w:jc w:val="both"/>
        <w:rPr>
          <w:lang w:val="en-GB"/>
        </w:rPr>
      </w:pPr>
      <w:r w:rsidRPr="00170900">
        <w:rPr>
          <w:lang w:val="en-GB"/>
        </w:rPr>
        <w:t xml:space="preserve">have an </w:t>
      </w:r>
      <w:r w:rsidR="0049712B" w:rsidRPr="00170900">
        <w:rPr>
          <w:lang w:val="en-GB"/>
        </w:rPr>
        <w:t xml:space="preserve">average </w:t>
      </w:r>
      <w:r w:rsidRPr="00170900">
        <w:rPr>
          <w:lang w:val="en-GB"/>
        </w:rPr>
        <w:t xml:space="preserve">annual turnover between EUR 100,000 – 500,000 </w:t>
      </w:r>
      <w:r w:rsidR="00BE0F5F" w:rsidRPr="00170900">
        <w:rPr>
          <w:lang w:val="en-GB"/>
        </w:rPr>
        <w:t xml:space="preserve">for </w:t>
      </w:r>
      <w:r w:rsidR="00BE0F5F">
        <w:rPr>
          <w:lang w:val="en-GB"/>
        </w:rPr>
        <w:t>the</w:t>
      </w:r>
      <w:r w:rsidR="002D1DA5">
        <w:rPr>
          <w:lang w:val="en-GB"/>
        </w:rPr>
        <w:t xml:space="preserve"> </w:t>
      </w:r>
      <w:r w:rsidR="00BE0F5F">
        <w:rPr>
          <w:lang w:val="en-GB"/>
        </w:rPr>
        <w:t>2019</w:t>
      </w:r>
      <w:r w:rsidR="00BE0F5F" w:rsidRPr="00170900">
        <w:rPr>
          <w:lang w:val="en-GB"/>
        </w:rPr>
        <w:t xml:space="preserve"> and 2020 fiscal years (the applicant will prove this </w:t>
      </w:r>
      <w:r w:rsidR="00B52701" w:rsidRPr="00170900">
        <w:rPr>
          <w:lang w:val="en-GB"/>
        </w:rPr>
        <w:t xml:space="preserve">by submitting annual reports </w:t>
      </w:r>
      <w:r w:rsidR="005370C0" w:rsidRPr="00170900">
        <w:rPr>
          <w:lang w:val="en-GB"/>
        </w:rPr>
        <w:t>in question); and</w:t>
      </w:r>
    </w:p>
    <w:p w14:paraId="05EDFA4A" w14:textId="1883A9B0" w:rsidR="00912818" w:rsidRPr="00170900" w:rsidRDefault="002D631C" w:rsidP="00D02D53">
      <w:pPr>
        <w:pStyle w:val="ListParagraph"/>
        <w:numPr>
          <w:ilvl w:val="0"/>
          <w:numId w:val="24"/>
        </w:numPr>
        <w:jc w:val="both"/>
        <w:rPr>
          <w:lang w:val="en-GB"/>
        </w:rPr>
      </w:pPr>
      <w:r w:rsidRPr="00170900">
        <w:rPr>
          <w:lang w:val="en-GB"/>
        </w:rPr>
        <w:t xml:space="preserve">have </w:t>
      </w:r>
      <w:r w:rsidR="00696F7C" w:rsidRPr="00170900">
        <w:rPr>
          <w:lang w:val="en-GB"/>
        </w:rPr>
        <w:t>core activities</w:t>
      </w:r>
      <w:r w:rsidR="00392B49" w:rsidRPr="00170900">
        <w:rPr>
          <w:lang w:val="en-GB"/>
        </w:rPr>
        <w:t xml:space="preserve"> in one of the following areas of support:</w:t>
      </w:r>
    </w:p>
    <w:p w14:paraId="0E118335" w14:textId="2DD62348" w:rsidR="003B7642" w:rsidRPr="00170900" w:rsidRDefault="003B7642" w:rsidP="00D02D53">
      <w:pPr>
        <w:pStyle w:val="ListParagraph"/>
        <w:numPr>
          <w:ilvl w:val="1"/>
          <w:numId w:val="24"/>
        </w:numPr>
        <w:jc w:val="both"/>
        <w:rPr>
          <w:lang w:val="en-GB"/>
        </w:rPr>
      </w:pPr>
      <w:r w:rsidRPr="00170900">
        <w:rPr>
          <w:color w:val="000000"/>
          <w:lang w:val="en-GB" w:eastAsia="en-GB"/>
        </w:rPr>
        <w:t xml:space="preserve">Strengthened democratic culture and civic </w:t>
      </w:r>
      <w:proofErr w:type="gramStart"/>
      <w:r w:rsidRPr="00170900">
        <w:rPr>
          <w:color w:val="000000"/>
          <w:lang w:val="en-GB" w:eastAsia="en-GB"/>
        </w:rPr>
        <w:t>awareness;</w:t>
      </w:r>
      <w:proofErr w:type="gramEnd"/>
    </w:p>
    <w:p w14:paraId="0B144485" w14:textId="3AAA8E19" w:rsidR="003B7642" w:rsidRPr="00170900" w:rsidRDefault="003B7642" w:rsidP="00D02D53">
      <w:pPr>
        <w:pStyle w:val="ListParagraph"/>
        <w:numPr>
          <w:ilvl w:val="1"/>
          <w:numId w:val="24"/>
        </w:numPr>
        <w:jc w:val="both"/>
        <w:rPr>
          <w:lang w:val="en-GB"/>
        </w:rPr>
      </w:pPr>
      <w:r w:rsidRPr="00170900">
        <w:rPr>
          <w:color w:val="000000"/>
          <w:lang w:val="en-GB" w:eastAsia="en-GB"/>
        </w:rPr>
        <w:t>Increased support for human rights (and equal treatment)</w:t>
      </w:r>
      <w:r w:rsidR="003A6FC9" w:rsidRPr="00170900">
        <w:rPr>
          <w:color w:val="000000"/>
          <w:lang w:val="en-GB" w:eastAsia="en-GB"/>
        </w:rPr>
        <w:t>.</w:t>
      </w:r>
    </w:p>
    <w:p w14:paraId="3309CFC9" w14:textId="31B2952D" w:rsidR="00392B49" w:rsidRPr="00170900" w:rsidRDefault="00490DE9" w:rsidP="00D02D53">
      <w:pPr>
        <w:pStyle w:val="ListParagraph"/>
        <w:numPr>
          <w:ilvl w:val="0"/>
          <w:numId w:val="24"/>
        </w:numPr>
        <w:jc w:val="both"/>
        <w:rPr>
          <w:lang w:val="en-GB"/>
        </w:rPr>
      </w:pPr>
      <w:r w:rsidRPr="00170900">
        <w:rPr>
          <w:lang w:val="en-GB"/>
        </w:rPr>
        <w:t xml:space="preserve">have multi-year organisational workplan or strategy </w:t>
      </w:r>
      <w:r w:rsidR="00AE3CD2" w:rsidRPr="00170900">
        <w:rPr>
          <w:lang w:val="en-GB"/>
        </w:rPr>
        <w:t>that includes advocacy and watchdog activities</w:t>
      </w:r>
      <w:r w:rsidR="005D1CC9" w:rsidRPr="00170900">
        <w:rPr>
          <w:lang w:val="en-GB"/>
        </w:rPr>
        <w:t>; and</w:t>
      </w:r>
    </w:p>
    <w:p w14:paraId="2B11A5B5" w14:textId="55DC9A84" w:rsidR="005D1CC9" w:rsidRPr="00170900" w:rsidRDefault="005D1CC9" w:rsidP="00D02D53">
      <w:pPr>
        <w:pStyle w:val="ListParagraph"/>
        <w:numPr>
          <w:ilvl w:val="0"/>
          <w:numId w:val="24"/>
        </w:numPr>
        <w:jc w:val="both"/>
        <w:rPr>
          <w:lang w:val="en-GB"/>
        </w:rPr>
      </w:pPr>
      <w:r w:rsidRPr="00170900">
        <w:rPr>
          <w:lang w:val="en-GB"/>
        </w:rPr>
        <w:t xml:space="preserve">have transparent </w:t>
      </w:r>
      <w:r w:rsidR="008F4E69" w:rsidRPr="00170900">
        <w:rPr>
          <w:lang w:val="en-GB"/>
        </w:rPr>
        <w:t>operating</w:t>
      </w:r>
      <w:r w:rsidR="00292D4E" w:rsidRPr="00170900">
        <w:rPr>
          <w:lang w:val="en-GB"/>
        </w:rPr>
        <w:t xml:space="preserve"> structure</w:t>
      </w:r>
      <w:r w:rsidR="004D2A3E" w:rsidRPr="00170900">
        <w:rPr>
          <w:lang w:val="en-GB"/>
        </w:rPr>
        <w:t>,</w:t>
      </w:r>
      <w:r w:rsidR="00292D4E" w:rsidRPr="00170900">
        <w:rPr>
          <w:lang w:val="en-GB"/>
        </w:rPr>
        <w:t xml:space="preserve"> which</w:t>
      </w:r>
      <w:r w:rsidR="00CB1C84" w:rsidRPr="00170900">
        <w:rPr>
          <w:lang w:val="en-GB"/>
        </w:rPr>
        <w:t>,</w:t>
      </w:r>
      <w:r w:rsidR="00292D4E" w:rsidRPr="00170900">
        <w:rPr>
          <w:lang w:val="en-GB"/>
        </w:rPr>
        <w:t xml:space="preserve"> as a minimum </w:t>
      </w:r>
      <w:r w:rsidR="00CB1C84" w:rsidRPr="00170900">
        <w:rPr>
          <w:lang w:val="en-GB"/>
        </w:rPr>
        <w:t xml:space="preserve">means that the organisation’s website </w:t>
      </w:r>
      <w:r w:rsidR="006D1EAE" w:rsidRPr="00170900">
        <w:rPr>
          <w:lang w:val="en-GB"/>
        </w:rPr>
        <w:t>provides the public with transparent information on:</w:t>
      </w:r>
    </w:p>
    <w:p w14:paraId="0BE20A6C" w14:textId="30EC627F" w:rsidR="006D1EAE" w:rsidRPr="00170900" w:rsidRDefault="006D1EAE" w:rsidP="00D02D53">
      <w:pPr>
        <w:pStyle w:val="ListParagraph"/>
        <w:numPr>
          <w:ilvl w:val="1"/>
          <w:numId w:val="24"/>
        </w:numPr>
        <w:jc w:val="both"/>
        <w:rPr>
          <w:lang w:val="en-GB"/>
        </w:rPr>
      </w:pPr>
      <w:r w:rsidRPr="00170900">
        <w:rPr>
          <w:lang w:val="en-GB"/>
        </w:rPr>
        <w:t>organisation’s annual reports</w:t>
      </w:r>
      <w:r w:rsidR="00D16E5B" w:rsidRPr="00170900">
        <w:rPr>
          <w:lang w:val="en-GB"/>
        </w:rPr>
        <w:t xml:space="preserve"> (for at least </w:t>
      </w:r>
      <w:r w:rsidR="00ED0CEF" w:rsidRPr="00170900">
        <w:rPr>
          <w:lang w:val="en-GB"/>
        </w:rPr>
        <w:t xml:space="preserve">the </w:t>
      </w:r>
      <w:r w:rsidR="000B14D0" w:rsidRPr="00170900">
        <w:rPr>
          <w:lang w:val="en-GB"/>
        </w:rPr>
        <w:t>last</w:t>
      </w:r>
      <w:r w:rsidR="00ED0CEF" w:rsidRPr="00170900">
        <w:rPr>
          <w:lang w:val="en-GB"/>
        </w:rPr>
        <w:t xml:space="preserve"> three years</w:t>
      </w:r>
      <w:proofErr w:type="gramStart"/>
      <w:r w:rsidR="00ED0CEF" w:rsidRPr="00170900">
        <w:rPr>
          <w:lang w:val="en-GB"/>
        </w:rPr>
        <w:t>)</w:t>
      </w:r>
      <w:r w:rsidR="00CB5679" w:rsidRPr="00170900">
        <w:rPr>
          <w:lang w:val="en-GB"/>
        </w:rPr>
        <w:t>;</w:t>
      </w:r>
      <w:proofErr w:type="gramEnd"/>
    </w:p>
    <w:p w14:paraId="3CF4899C" w14:textId="613630B2" w:rsidR="00CB5679" w:rsidRPr="00170900" w:rsidRDefault="00CB5679" w:rsidP="00D02D53">
      <w:pPr>
        <w:pStyle w:val="ListParagraph"/>
        <w:numPr>
          <w:ilvl w:val="1"/>
          <w:numId w:val="24"/>
        </w:numPr>
        <w:jc w:val="both"/>
        <w:rPr>
          <w:lang w:val="en-GB"/>
        </w:rPr>
      </w:pPr>
      <w:r w:rsidRPr="00170900">
        <w:rPr>
          <w:lang w:val="en-GB"/>
        </w:rPr>
        <w:t xml:space="preserve">names of the representatives of organisation’s governing and executive </w:t>
      </w:r>
      <w:proofErr w:type="gramStart"/>
      <w:r w:rsidRPr="00170900">
        <w:rPr>
          <w:lang w:val="en-GB"/>
        </w:rPr>
        <w:t>bodies</w:t>
      </w:r>
      <w:r w:rsidR="00ED0CEF" w:rsidRPr="00170900">
        <w:rPr>
          <w:lang w:val="en-GB"/>
        </w:rPr>
        <w:t>;</w:t>
      </w:r>
      <w:proofErr w:type="gramEnd"/>
    </w:p>
    <w:p w14:paraId="6CD9F07B" w14:textId="6C705666" w:rsidR="0049712B" w:rsidRPr="00170900" w:rsidRDefault="00ED0CEF" w:rsidP="00D02D53">
      <w:pPr>
        <w:pStyle w:val="ListParagraph"/>
        <w:numPr>
          <w:ilvl w:val="1"/>
          <w:numId w:val="24"/>
        </w:numPr>
        <w:jc w:val="both"/>
        <w:rPr>
          <w:rFonts w:eastAsia="Times New Roman,MS Mincho"/>
          <w:lang w:val="en-GB"/>
        </w:rPr>
      </w:pPr>
      <w:r w:rsidRPr="00170900">
        <w:rPr>
          <w:lang w:val="en-GB"/>
        </w:rPr>
        <w:t xml:space="preserve">current information on </w:t>
      </w:r>
      <w:r w:rsidR="00D62CA0" w:rsidRPr="00170900">
        <w:rPr>
          <w:lang w:val="en-GB"/>
        </w:rPr>
        <w:t>organisation’s activities.</w:t>
      </w:r>
    </w:p>
    <w:p w14:paraId="59328B8D" w14:textId="7411E061" w:rsidR="0049712B" w:rsidRPr="0049712B" w:rsidRDefault="0049712B" w:rsidP="00D02D53">
      <w:pPr>
        <w:jc w:val="both"/>
        <w:rPr>
          <w:rFonts w:eastAsia="Times New Roman,MS Mincho"/>
          <w:b/>
          <w:bCs/>
          <w:lang w:val="en-GB" w:eastAsia="fr-FR"/>
        </w:rPr>
      </w:pPr>
      <w:r w:rsidRPr="00170900">
        <w:rPr>
          <w:rFonts w:eastAsia="Times New Roman,MS Mincho"/>
          <w:b/>
          <w:bCs/>
          <w:lang w:val="en-GB" w:eastAsia="fr-FR"/>
        </w:rPr>
        <w:t>Recipients of institutional grants are ineligible to apply for future ACF EE grants.</w:t>
      </w:r>
    </w:p>
    <w:p w14:paraId="2769AE4F" w14:textId="2B5D5CBF" w:rsidR="00CB5679" w:rsidRDefault="00CB5679" w:rsidP="00D02D53">
      <w:pPr>
        <w:jc w:val="both"/>
        <w:rPr>
          <w:lang w:val="en-GB"/>
        </w:rPr>
      </w:pPr>
    </w:p>
    <w:p w14:paraId="37BBD5DE" w14:textId="004AC869" w:rsidR="007D31E5" w:rsidRPr="007D31E5" w:rsidRDefault="007D31E5" w:rsidP="00D02D53">
      <w:pPr>
        <w:pStyle w:val="Heading2"/>
        <w:jc w:val="both"/>
      </w:pPr>
      <w:r w:rsidRPr="007D31E5">
        <w:t>Eligible core activities</w:t>
      </w:r>
    </w:p>
    <w:p w14:paraId="3B8D9123" w14:textId="18A99AE0" w:rsidR="004B6276" w:rsidRPr="005E2F5C" w:rsidRDefault="00EA1452" w:rsidP="00D02D53">
      <w:pPr>
        <w:jc w:val="both"/>
        <w:rPr>
          <w:rFonts w:eastAsia="Times New Roman,MS Mincho"/>
          <w:lang w:val="en-GB" w:eastAsia="fr-FR"/>
        </w:rPr>
      </w:pPr>
      <w:r w:rsidRPr="005E2F5C">
        <w:rPr>
          <w:rFonts w:asciiTheme="minorHAnsi" w:eastAsia="Times New Roman,MS Mincho" w:hAnsiTheme="minorHAnsi" w:cstheme="minorHAnsi"/>
          <w:lang w:val="en-GB" w:eastAsia="fr-FR"/>
        </w:rPr>
        <w:t>Applicant’s core activities</w:t>
      </w:r>
      <w:r w:rsidR="00441847" w:rsidRPr="005E2F5C">
        <w:rPr>
          <w:rFonts w:asciiTheme="minorHAnsi" w:eastAsia="Times New Roman,MS Mincho" w:hAnsiTheme="minorHAnsi" w:cstheme="minorHAnsi"/>
          <w:lang w:val="en-GB" w:eastAsia="fr-FR"/>
        </w:rPr>
        <w:t xml:space="preserve"> and multi-year organisational workplan or strategy must be </w:t>
      </w:r>
      <w:r w:rsidR="001F5FEF" w:rsidRPr="005E2F5C">
        <w:rPr>
          <w:rFonts w:asciiTheme="minorHAnsi" w:eastAsia="Times New Roman,MS Mincho" w:hAnsiTheme="minorHAnsi" w:cstheme="minorHAnsi"/>
          <w:lang w:val="en-GB" w:eastAsia="fr-FR"/>
        </w:rPr>
        <w:t xml:space="preserve">consistent and significantly linked with the </w:t>
      </w:r>
      <w:r w:rsidR="007D31E5" w:rsidRPr="005E2F5C">
        <w:rPr>
          <w:rFonts w:asciiTheme="minorHAnsi" w:eastAsia="Times New Roman,MS Mincho" w:hAnsiTheme="minorHAnsi" w:cstheme="minorHAnsi"/>
          <w:lang w:val="en-GB" w:eastAsia="fr-FR"/>
        </w:rPr>
        <w:t>O</w:t>
      </w:r>
      <w:r w:rsidR="001F5FEF" w:rsidRPr="005E2F5C">
        <w:rPr>
          <w:rFonts w:asciiTheme="minorHAnsi" w:eastAsia="Times New Roman,MS Mincho" w:hAnsiTheme="minorHAnsi" w:cstheme="minorHAnsi"/>
          <w:lang w:val="en-GB" w:eastAsia="fr-FR"/>
        </w:rPr>
        <w:t>utcomes</w:t>
      </w:r>
      <w:r w:rsidR="007D31E5" w:rsidRPr="005E2F5C">
        <w:rPr>
          <w:rFonts w:asciiTheme="minorHAnsi" w:eastAsia="Times New Roman,MS Mincho" w:hAnsiTheme="minorHAnsi" w:cstheme="minorHAnsi"/>
          <w:lang w:val="en-GB" w:eastAsia="fr-FR"/>
        </w:rPr>
        <w:t xml:space="preserve"> 1 </w:t>
      </w:r>
      <w:r w:rsidR="007D31E5" w:rsidRPr="005E2F5C">
        <w:rPr>
          <w:rFonts w:asciiTheme="minorHAnsi" w:eastAsia="Times New Roman,MS Mincho" w:hAnsiTheme="minorHAnsi" w:cstheme="minorHAnsi"/>
          <w:b/>
          <w:bCs/>
          <w:lang w:val="en-GB" w:eastAsia="fr-FR"/>
        </w:rPr>
        <w:t>or</w:t>
      </w:r>
      <w:r w:rsidR="007D31E5" w:rsidRPr="005E2F5C">
        <w:rPr>
          <w:rFonts w:asciiTheme="minorHAnsi" w:eastAsia="Times New Roman,MS Mincho" w:hAnsiTheme="minorHAnsi" w:cstheme="minorHAnsi"/>
          <w:lang w:val="en-GB" w:eastAsia="fr-FR"/>
        </w:rPr>
        <w:t xml:space="preserve"> 2</w:t>
      </w:r>
      <w:r w:rsidR="001F5FEF" w:rsidRPr="005E2F5C">
        <w:rPr>
          <w:rFonts w:asciiTheme="minorHAnsi" w:eastAsia="Times New Roman,MS Mincho" w:hAnsiTheme="minorHAnsi" w:cstheme="minorHAnsi"/>
          <w:lang w:val="en-GB" w:eastAsia="fr-FR"/>
        </w:rPr>
        <w:t xml:space="preserve"> </w:t>
      </w:r>
      <w:r w:rsidR="007D31E5" w:rsidRPr="005E2F5C">
        <w:rPr>
          <w:rFonts w:asciiTheme="minorHAnsi" w:eastAsia="Times New Roman,MS Mincho" w:hAnsiTheme="minorHAnsi" w:cstheme="minorHAnsi"/>
          <w:lang w:val="en-GB" w:eastAsia="fr-FR"/>
        </w:rPr>
        <w:t>(</w:t>
      </w:r>
      <w:r w:rsidR="00057FA4" w:rsidRPr="005E2F5C">
        <w:rPr>
          <w:rFonts w:asciiTheme="minorHAnsi" w:eastAsia="Times New Roman,MS Mincho" w:hAnsiTheme="minorHAnsi" w:cstheme="minorHAnsi"/>
          <w:lang w:val="en-GB" w:eastAsia="fr-FR"/>
        </w:rPr>
        <w:t>and objectives</w:t>
      </w:r>
      <w:r w:rsidR="007D31E5" w:rsidRPr="005E2F5C">
        <w:rPr>
          <w:rFonts w:asciiTheme="minorHAnsi" w:eastAsia="Times New Roman,MS Mincho" w:hAnsiTheme="minorHAnsi" w:cstheme="minorHAnsi"/>
          <w:lang w:val="en-GB" w:eastAsia="fr-FR"/>
        </w:rPr>
        <w:t>)</w:t>
      </w:r>
      <w:r w:rsidR="00057FA4" w:rsidRPr="005E2F5C">
        <w:rPr>
          <w:rFonts w:asciiTheme="minorHAnsi" w:eastAsia="Times New Roman,MS Mincho" w:hAnsiTheme="minorHAnsi" w:cstheme="minorHAnsi"/>
          <w:lang w:val="en-GB" w:eastAsia="fr-FR"/>
        </w:rPr>
        <w:t xml:space="preserve"> of the Active Citizens Fund Estonia</w:t>
      </w:r>
      <w:r w:rsidR="007E43D7" w:rsidRPr="005E2F5C">
        <w:rPr>
          <w:rFonts w:asciiTheme="minorHAnsi" w:eastAsia="Times New Roman,MS Mincho" w:hAnsiTheme="minorHAnsi" w:cstheme="minorHAnsi"/>
          <w:lang w:val="en-GB" w:eastAsia="fr-FR"/>
        </w:rPr>
        <w:t xml:space="preserve">. </w:t>
      </w:r>
      <w:r w:rsidR="007E43D7" w:rsidRPr="005E2F5C">
        <w:rPr>
          <w:rFonts w:eastAsia="Times New Roman,MS Mincho"/>
          <w:lang w:val="en-GB" w:eastAsia="fr-FR"/>
        </w:rPr>
        <w:t>However, it is not necessary for strategies</w:t>
      </w:r>
      <w:r w:rsidR="00727D5A" w:rsidRPr="005E2F5C">
        <w:rPr>
          <w:rFonts w:eastAsia="Times New Roman,MS Mincho"/>
          <w:lang w:val="en-GB" w:eastAsia="fr-FR"/>
        </w:rPr>
        <w:t xml:space="preserve"> or </w:t>
      </w:r>
      <w:r w:rsidR="007E43D7" w:rsidRPr="005E2F5C">
        <w:rPr>
          <w:rFonts w:eastAsia="Times New Roman,MS Mincho"/>
          <w:lang w:val="en-GB" w:eastAsia="fr-FR"/>
        </w:rPr>
        <w:t>workplans to follow only these outcomes and outputs.</w:t>
      </w:r>
    </w:p>
    <w:p w14:paraId="13052A02" w14:textId="47249D12" w:rsidR="004B6276" w:rsidRPr="005E2F5C" w:rsidRDefault="004B6276" w:rsidP="00D02D53">
      <w:pPr>
        <w:jc w:val="both"/>
        <w:rPr>
          <w:rFonts w:asciiTheme="minorHAnsi" w:eastAsia="Times New Roman,MS Mincho" w:hAnsiTheme="minorHAnsi" w:cstheme="minorHAnsi"/>
          <w:b/>
          <w:bCs/>
          <w:lang w:val="en-GB" w:eastAsia="fr-FR"/>
        </w:rPr>
      </w:pPr>
      <w:r w:rsidRPr="005E2F5C">
        <w:rPr>
          <w:rFonts w:asciiTheme="minorHAnsi" w:eastAsia="Times New Roman,MS Mincho" w:hAnsiTheme="minorHAnsi" w:cstheme="minorHAnsi"/>
          <w:b/>
          <w:bCs/>
          <w:lang w:val="en-GB" w:eastAsia="fr-FR"/>
        </w:rPr>
        <w:t xml:space="preserve">Outcome 1: </w:t>
      </w:r>
      <w:r w:rsidRPr="005E2F5C">
        <w:rPr>
          <w:b/>
          <w:color w:val="000000"/>
          <w:lang w:val="en-GB" w:eastAsia="en-GB"/>
        </w:rPr>
        <w:t>Strengthened democratic culture and civic awareness</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677"/>
        <w:gridCol w:w="2500"/>
        <w:gridCol w:w="4875"/>
      </w:tblGrid>
      <w:tr w:rsidR="004B6276" w:rsidRPr="005E2F5C" w14:paraId="00E32714" w14:textId="77777777" w:rsidTr="00F815D0">
        <w:trPr>
          <w:trHeight w:val="422"/>
        </w:trPr>
        <w:tc>
          <w:tcPr>
            <w:tcW w:w="926" w:type="pct"/>
            <w:shd w:val="clear" w:color="auto" w:fill="auto"/>
            <w:vAlign w:val="center"/>
          </w:tcPr>
          <w:p w14:paraId="00625B4B" w14:textId="77777777" w:rsidR="004B6276" w:rsidRPr="005E2F5C" w:rsidRDefault="004B6276" w:rsidP="00D02D53">
            <w:pPr>
              <w:spacing w:after="0"/>
              <w:jc w:val="both"/>
              <w:rPr>
                <w:color w:val="000000"/>
                <w:sz w:val="20"/>
                <w:szCs w:val="20"/>
                <w:lang w:val="en-GB" w:eastAsia="en-GB"/>
              </w:rPr>
            </w:pPr>
          </w:p>
        </w:tc>
        <w:tc>
          <w:tcPr>
            <w:tcW w:w="1381" w:type="pct"/>
            <w:shd w:val="clear" w:color="auto" w:fill="auto"/>
            <w:vAlign w:val="center"/>
          </w:tcPr>
          <w:p w14:paraId="5854FB3A" w14:textId="77777777" w:rsidR="004B6276" w:rsidRPr="005E2F5C" w:rsidRDefault="004B6276" w:rsidP="00D02D53">
            <w:pPr>
              <w:spacing w:after="0"/>
              <w:jc w:val="both"/>
              <w:rPr>
                <w:b/>
                <w:color w:val="000000"/>
                <w:sz w:val="20"/>
                <w:szCs w:val="20"/>
                <w:lang w:val="en-GB" w:eastAsia="en-GB"/>
              </w:rPr>
            </w:pPr>
            <w:r w:rsidRPr="005E2F5C">
              <w:rPr>
                <w:b/>
                <w:color w:val="000000"/>
                <w:sz w:val="20"/>
                <w:szCs w:val="20"/>
                <w:lang w:val="en-GB" w:eastAsia="en-GB"/>
              </w:rPr>
              <w:t>Expected programme results</w:t>
            </w:r>
          </w:p>
        </w:tc>
        <w:tc>
          <w:tcPr>
            <w:tcW w:w="2693" w:type="pct"/>
            <w:shd w:val="clear" w:color="auto" w:fill="auto"/>
            <w:vAlign w:val="center"/>
          </w:tcPr>
          <w:p w14:paraId="4F36B5A4" w14:textId="77777777" w:rsidR="004B6276" w:rsidRPr="005E2F5C" w:rsidRDefault="004B6276" w:rsidP="00D02D53">
            <w:pPr>
              <w:spacing w:after="0"/>
              <w:jc w:val="both"/>
              <w:rPr>
                <w:b/>
                <w:color w:val="000000"/>
                <w:sz w:val="20"/>
                <w:szCs w:val="20"/>
                <w:lang w:val="en-GB" w:eastAsia="en-GB"/>
              </w:rPr>
            </w:pPr>
            <w:r w:rsidRPr="005E2F5C">
              <w:rPr>
                <w:b/>
                <w:color w:val="000000"/>
                <w:sz w:val="20"/>
                <w:szCs w:val="20"/>
                <w:lang w:val="en-GB" w:eastAsia="en-GB"/>
              </w:rPr>
              <w:t>Indicators</w:t>
            </w:r>
          </w:p>
        </w:tc>
      </w:tr>
      <w:tr w:rsidR="004B6276" w:rsidRPr="005E2F5C" w14:paraId="44810B01" w14:textId="77777777" w:rsidTr="00F815D0">
        <w:trPr>
          <w:trHeight w:val="422"/>
        </w:trPr>
        <w:tc>
          <w:tcPr>
            <w:tcW w:w="926" w:type="pct"/>
            <w:vMerge w:val="restart"/>
            <w:shd w:val="clear" w:color="auto" w:fill="auto"/>
            <w:vAlign w:val="center"/>
            <w:hideMark/>
          </w:tcPr>
          <w:p w14:paraId="255EDD38" w14:textId="77777777" w:rsidR="004B6276" w:rsidRPr="005E2F5C" w:rsidRDefault="004B6276" w:rsidP="00D02D53">
            <w:pPr>
              <w:spacing w:after="0"/>
              <w:jc w:val="both"/>
              <w:rPr>
                <w:b/>
                <w:color w:val="000000"/>
                <w:sz w:val="20"/>
                <w:szCs w:val="20"/>
                <w:lang w:val="en-GB" w:eastAsia="en-GB"/>
              </w:rPr>
            </w:pPr>
            <w:r w:rsidRPr="005E2F5C">
              <w:rPr>
                <w:b/>
                <w:color w:val="000000"/>
                <w:sz w:val="20"/>
                <w:szCs w:val="20"/>
                <w:lang w:val="en-GB" w:eastAsia="en-GB"/>
              </w:rPr>
              <w:t>Outcome 1</w:t>
            </w:r>
          </w:p>
        </w:tc>
        <w:tc>
          <w:tcPr>
            <w:tcW w:w="1381" w:type="pct"/>
            <w:vMerge w:val="restart"/>
            <w:shd w:val="clear" w:color="auto" w:fill="auto"/>
            <w:vAlign w:val="center"/>
            <w:hideMark/>
          </w:tcPr>
          <w:p w14:paraId="4359749A" w14:textId="77777777" w:rsidR="004B6276" w:rsidRPr="005E2F5C" w:rsidRDefault="004B6276" w:rsidP="00D02D53">
            <w:pPr>
              <w:spacing w:after="0"/>
              <w:jc w:val="both"/>
              <w:rPr>
                <w:b/>
                <w:color w:val="000000"/>
                <w:sz w:val="20"/>
                <w:szCs w:val="20"/>
                <w:lang w:val="en-GB" w:eastAsia="en-GB"/>
              </w:rPr>
            </w:pPr>
            <w:r w:rsidRPr="005E2F5C">
              <w:rPr>
                <w:b/>
                <w:color w:val="000000"/>
                <w:sz w:val="20"/>
                <w:szCs w:val="20"/>
                <w:lang w:val="en-GB" w:eastAsia="en-GB"/>
              </w:rPr>
              <w:t xml:space="preserve">Strengthened democratic culture and civic awareness </w:t>
            </w:r>
          </w:p>
        </w:tc>
        <w:tc>
          <w:tcPr>
            <w:tcW w:w="2693" w:type="pct"/>
            <w:shd w:val="clear" w:color="auto" w:fill="auto"/>
            <w:vAlign w:val="center"/>
            <w:hideMark/>
          </w:tcPr>
          <w:p w14:paraId="59DB1352"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Share of target group showing civic awareness</w:t>
            </w:r>
          </w:p>
        </w:tc>
      </w:tr>
      <w:tr w:rsidR="004B6276" w:rsidRPr="005E2F5C" w14:paraId="56B8F7FC" w14:textId="77777777" w:rsidTr="00F815D0">
        <w:trPr>
          <w:trHeight w:val="499"/>
        </w:trPr>
        <w:tc>
          <w:tcPr>
            <w:tcW w:w="926" w:type="pct"/>
            <w:vMerge/>
            <w:vAlign w:val="center"/>
            <w:hideMark/>
          </w:tcPr>
          <w:p w14:paraId="258FF384" w14:textId="77777777" w:rsidR="004B6276" w:rsidRPr="005E2F5C" w:rsidRDefault="004B6276" w:rsidP="00D02D53">
            <w:pPr>
              <w:spacing w:after="0"/>
              <w:jc w:val="both"/>
              <w:rPr>
                <w:color w:val="000000"/>
                <w:sz w:val="20"/>
                <w:szCs w:val="20"/>
                <w:lang w:val="en-GB" w:eastAsia="en-GB"/>
              </w:rPr>
            </w:pPr>
          </w:p>
        </w:tc>
        <w:tc>
          <w:tcPr>
            <w:tcW w:w="1381" w:type="pct"/>
            <w:vMerge/>
            <w:vAlign w:val="center"/>
            <w:hideMark/>
          </w:tcPr>
          <w:p w14:paraId="1E7DD3BD" w14:textId="77777777" w:rsidR="004B6276" w:rsidRPr="005E2F5C" w:rsidRDefault="004B6276" w:rsidP="00D02D53">
            <w:pPr>
              <w:spacing w:after="0"/>
              <w:jc w:val="both"/>
              <w:rPr>
                <w:color w:val="000000"/>
                <w:sz w:val="20"/>
                <w:szCs w:val="20"/>
                <w:lang w:val="en-GB" w:eastAsia="en-GB"/>
              </w:rPr>
            </w:pPr>
          </w:p>
        </w:tc>
        <w:tc>
          <w:tcPr>
            <w:tcW w:w="2693" w:type="pct"/>
            <w:shd w:val="clear" w:color="auto" w:fill="auto"/>
            <w:vAlign w:val="center"/>
            <w:hideMark/>
          </w:tcPr>
          <w:p w14:paraId="5C30C9C2"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Number of national policies and laws influenced by CSOs</w:t>
            </w:r>
          </w:p>
        </w:tc>
      </w:tr>
      <w:tr w:rsidR="004B6276" w:rsidRPr="005E2F5C" w14:paraId="0EF3C8BF" w14:textId="77777777" w:rsidTr="00F815D0">
        <w:trPr>
          <w:trHeight w:val="393"/>
        </w:trPr>
        <w:tc>
          <w:tcPr>
            <w:tcW w:w="926" w:type="pct"/>
            <w:vMerge/>
            <w:vAlign w:val="center"/>
            <w:hideMark/>
          </w:tcPr>
          <w:p w14:paraId="110E5697" w14:textId="77777777" w:rsidR="004B6276" w:rsidRPr="005E2F5C" w:rsidRDefault="004B6276" w:rsidP="00D02D53">
            <w:pPr>
              <w:spacing w:after="0"/>
              <w:jc w:val="both"/>
              <w:rPr>
                <w:color w:val="000000"/>
                <w:sz w:val="20"/>
                <w:szCs w:val="20"/>
                <w:lang w:val="en-GB" w:eastAsia="en-GB"/>
              </w:rPr>
            </w:pPr>
          </w:p>
        </w:tc>
        <w:tc>
          <w:tcPr>
            <w:tcW w:w="1381" w:type="pct"/>
            <w:vMerge/>
            <w:vAlign w:val="center"/>
            <w:hideMark/>
          </w:tcPr>
          <w:p w14:paraId="6E1CA2BD" w14:textId="77777777" w:rsidR="004B6276" w:rsidRPr="005E2F5C" w:rsidRDefault="004B6276" w:rsidP="00D02D53">
            <w:pPr>
              <w:spacing w:after="0"/>
              <w:jc w:val="both"/>
              <w:rPr>
                <w:color w:val="000000"/>
                <w:sz w:val="20"/>
                <w:szCs w:val="20"/>
                <w:lang w:val="en-GB" w:eastAsia="en-GB"/>
              </w:rPr>
            </w:pPr>
          </w:p>
        </w:tc>
        <w:tc>
          <w:tcPr>
            <w:tcW w:w="2693" w:type="pct"/>
            <w:shd w:val="clear" w:color="auto" w:fill="auto"/>
            <w:vAlign w:val="center"/>
            <w:hideMark/>
          </w:tcPr>
          <w:p w14:paraId="5B9C1C3A"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Number of local policies and laws influenced by CSOs</w:t>
            </w:r>
          </w:p>
        </w:tc>
      </w:tr>
      <w:tr w:rsidR="004B6276" w:rsidRPr="005E2F5C" w14:paraId="370C9BBE" w14:textId="77777777" w:rsidTr="00F815D0">
        <w:trPr>
          <w:trHeight w:val="498"/>
        </w:trPr>
        <w:tc>
          <w:tcPr>
            <w:tcW w:w="926" w:type="pct"/>
            <w:vMerge/>
            <w:vAlign w:val="center"/>
            <w:hideMark/>
          </w:tcPr>
          <w:p w14:paraId="3968FB8A" w14:textId="77777777" w:rsidR="004B6276" w:rsidRPr="005E2F5C" w:rsidRDefault="004B6276" w:rsidP="00D02D53">
            <w:pPr>
              <w:spacing w:after="0"/>
              <w:jc w:val="both"/>
              <w:rPr>
                <w:color w:val="000000"/>
                <w:sz w:val="20"/>
                <w:szCs w:val="20"/>
                <w:lang w:val="en-GB" w:eastAsia="en-GB"/>
              </w:rPr>
            </w:pPr>
          </w:p>
        </w:tc>
        <w:tc>
          <w:tcPr>
            <w:tcW w:w="1381" w:type="pct"/>
            <w:vMerge/>
            <w:vAlign w:val="center"/>
            <w:hideMark/>
          </w:tcPr>
          <w:p w14:paraId="0B86A0CC" w14:textId="77777777" w:rsidR="004B6276" w:rsidRPr="005E2F5C" w:rsidRDefault="004B6276" w:rsidP="00D02D53">
            <w:pPr>
              <w:spacing w:after="0"/>
              <w:jc w:val="both"/>
              <w:rPr>
                <w:color w:val="000000"/>
                <w:sz w:val="20"/>
                <w:szCs w:val="20"/>
                <w:lang w:val="en-GB" w:eastAsia="en-GB"/>
              </w:rPr>
            </w:pPr>
          </w:p>
        </w:tc>
        <w:tc>
          <w:tcPr>
            <w:tcW w:w="2693" w:type="pct"/>
            <w:shd w:val="clear" w:color="auto" w:fill="auto"/>
            <w:vAlign w:val="center"/>
            <w:hideMark/>
          </w:tcPr>
          <w:p w14:paraId="46D36669"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 xml:space="preserve">Number of CSOs using evidence/research to support their advocacy and policy work                </w:t>
            </w:r>
          </w:p>
        </w:tc>
      </w:tr>
      <w:tr w:rsidR="004B6276" w:rsidRPr="005E2F5C" w14:paraId="6C06E8B6" w14:textId="77777777" w:rsidTr="00F815D0">
        <w:trPr>
          <w:trHeight w:val="660"/>
        </w:trPr>
        <w:tc>
          <w:tcPr>
            <w:tcW w:w="926" w:type="pct"/>
            <w:shd w:val="clear" w:color="auto" w:fill="auto"/>
            <w:vAlign w:val="center"/>
            <w:hideMark/>
          </w:tcPr>
          <w:p w14:paraId="79BF9A71"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Output 1.1</w:t>
            </w:r>
          </w:p>
        </w:tc>
        <w:tc>
          <w:tcPr>
            <w:tcW w:w="1381" w:type="pct"/>
            <w:shd w:val="clear" w:color="auto" w:fill="auto"/>
            <w:vAlign w:val="center"/>
            <w:hideMark/>
          </w:tcPr>
          <w:p w14:paraId="4694D9C3"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Citizens involved in public policy decision-making by CSOs</w:t>
            </w:r>
          </w:p>
        </w:tc>
        <w:tc>
          <w:tcPr>
            <w:tcW w:w="2693" w:type="pct"/>
            <w:shd w:val="clear" w:color="auto" w:fill="auto"/>
            <w:vAlign w:val="center"/>
            <w:hideMark/>
          </w:tcPr>
          <w:p w14:paraId="5772D94B"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Number of citizens consulted by CSOs on public policy decisions</w:t>
            </w:r>
          </w:p>
        </w:tc>
      </w:tr>
      <w:tr w:rsidR="004B6276" w:rsidRPr="005E2F5C" w14:paraId="7CB874F1" w14:textId="77777777" w:rsidTr="00F815D0">
        <w:trPr>
          <w:trHeight w:val="467"/>
        </w:trPr>
        <w:tc>
          <w:tcPr>
            <w:tcW w:w="926" w:type="pct"/>
            <w:vMerge w:val="restart"/>
            <w:shd w:val="clear" w:color="auto" w:fill="auto"/>
            <w:vAlign w:val="center"/>
            <w:hideMark/>
          </w:tcPr>
          <w:p w14:paraId="601A7F7B"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Output 1.2</w:t>
            </w:r>
          </w:p>
        </w:tc>
        <w:tc>
          <w:tcPr>
            <w:tcW w:w="1381" w:type="pct"/>
            <w:vMerge w:val="restart"/>
            <w:shd w:val="clear" w:color="auto" w:fill="auto"/>
            <w:vAlign w:val="center"/>
            <w:hideMark/>
          </w:tcPr>
          <w:p w14:paraId="73998B24"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Civic awareness promoted</w:t>
            </w:r>
          </w:p>
        </w:tc>
        <w:tc>
          <w:tcPr>
            <w:tcW w:w="2693" w:type="pct"/>
            <w:shd w:val="clear" w:color="auto" w:fill="auto"/>
            <w:vAlign w:val="center"/>
            <w:hideMark/>
          </w:tcPr>
          <w:p w14:paraId="647BCEC6"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Number of CSOs providing civic education</w:t>
            </w:r>
          </w:p>
        </w:tc>
      </w:tr>
      <w:tr w:rsidR="004B6276" w:rsidRPr="005E2F5C" w14:paraId="028AFD73" w14:textId="77777777" w:rsidTr="00F815D0">
        <w:trPr>
          <w:trHeight w:val="559"/>
        </w:trPr>
        <w:tc>
          <w:tcPr>
            <w:tcW w:w="926" w:type="pct"/>
            <w:vMerge/>
            <w:vAlign w:val="center"/>
            <w:hideMark/>
          </w:tcPr>
          <w:p w14:paraId="4B6B3AC9" w14:textId="77777777" w:rsidR="004B6276" w:rsidRPr="005E2F5C" w:rsidRDefault="004B6276" w:rsidP="00D02D53">
            <w:pPr>
              <w:spacing w:after="0"/>
              <w:jc w:val="both"/>
              <w:rPr>
                <w:color w:val="000000"/>
                <w:sz w:val="20"/>
                <w:szCs w:val="20"/>
                <w:lang w:val="en-GB" w:eastAsia="en-GB"/>
              </w:rPr>
            </w:pPr>
          </w:p>
        </w:tc>
        <w:tc>
          <w:tcPr>
            <w:tcW w:w="1381" w:type="pct"/>
            <w:vMerge/>
            <w:vAlign w:val="center"/>
            <w:hideMark/>
          </w:tcPr>
          <w:p w14:paraId="6BBB06F6" w14:textId="77777777" w:rsidR="004B6276" w:rsidRPr="005E2F5C" w:rsidRDefault="004B6276" w:rsidP="00D02D53">
            <w:pPr>
              <w:spacing w:after="0"/>
              <w:jc w:val="both"/>
              <w:rPr>
                <w:color w:val="000000"/>
                <w:sz w:val="20"/>
                <w:szCs w:val="20"/>
                <w:lang w:val="en-GB" w:eastAsia="en-GB"/>
              </w:rPr>
            </w:pPr>
          </w:p>
        </w:tc>
        <w:tc>
          <w:tcPr>
            <w:tcW w:w="2693" w:type="pct"/>
            <w:shd w:val="clear" w:color="auto" w:fill="auto"/>
            <w:vAlign w:val="center"/>
            <w:hideMark/>
          </w:tcPr>
          <w:p w14:paraId="0106F253"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Number of people educated about civic rights and participation</w:t>
            </w:r>
          </w:p>
        </w:tc>
      </w:tr>
      <w:tr w:rsidR="004B6276" w:rsidRPr="005E2F5C" w14:paraId="47068465" w14:textId="77777777" w:rsidTr="00F815D0">
        <w:trPr>
          <w:trHeight w:val="539"/>
        </w:trPr>
        <w:tc>
          <w:tcPr>
            <w:tcW w:w="926" w:type="pct"/>
            <w:vMerge/>
            <w:vAlign w:val="center"/>
            <w:hideMark/>
          </w:tcPr>
          <w:p w14:paraId="2929C719" w14:textId="77777777" w:rsidR="004B6276" w:rsidRPr="005E2F5C" w:rsidRDefault="004B6276" w:rsidP="00D02D53">
            <w:pPr>
              <w:spacing w:after="0"/>
              <w:jc w:val="both"/>
              <w:rPr>
                <w:color w:val="000000"/>
                <w:sz w:val="20"/>
                <w:szCs w:val="20"/>
                <w:lang w:val="en-GB" w:eastAsia="en-GB"/>
              </w:rPr>
            </w:pPr>
          </w:p>
        </w:tc>
        <w:tc>
          <w:tcPr>
            <w:tcW w:w="1381" w:type="pct"/>
            <w:vMerge/>
            <w:vAlign w:val="center"/>
            <w:hideMark/>
          </w:tcPr>
          <w:p w14:paraId="42C7D066" w14:textId="77777777" w:rsidR="004B6276" w:rsidRPr="005E2F5C" w:rsidRDefault="004B6276" w:rsidP="00D02D53">
            <w:pPr>
              <w:spacing w:after="0"/>
              <w:jc w:val="both"/>
              <w:rPr>
                <w:color w:val="000000"/>
                <w:sz w:val="20"/>
                <w:szCs w:val="20"/>
                <w:lang w:val="en-GB" w:eastAsia="en-GB"/>
              </w:rPr>
            </w:pPr>
          </w:p>
        </w:tc>
        <w:tc>
          <w:tcPr>
            <w:tcW w:w="2693" w:type="pct"/>
            <w:shd w:val="clear" w:color="auto" w:fill="auto"/>
            <w:vAlign w:val="center"/>
            <w:hideMark/>
          </w:tcPr>
          <w:p w14:paraId="0692C119"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Number of innovative methods and approaches to foster civic participation developed</w:t>
            </w:r>
          </w:p>
        </w:tc>
      </w:tr>
      <w:tr w:rsidR="004B6276" w:rsidRPr="005E2F5C" w14:paraId="0634B178" w14:textId="77777777" w:rsidTr="00F815D0">
        <w:trPr>
          <w:trHeight w:val="689"/>
        </w:trPr>
        <w:tc>
          <w:tcPr>
            <w:tcW w:w="926" w:type="pct"/>
            <w:shd w:val="clear" w:color="auto" w:fill="auto"/>
            <w:vAlign w:val="center"/>
            <w:hideMark/>
          </w:tcPr>
          <w:p w14:paraId="6011E5E4"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Output 1.3</w:t>
            </w:r>
          </w:p>
        </w:tc>
        <w:tc>
          <w:tcPr>
            <w:tcW w:w="1381" w:type="pct"/>
            <w:shd w:val="clear" w:color="auto" w:fill="auto"/>
            <w:vAlign w:val="center"/>
            <w:hideMark/>
          </w:tcPr>
          <w:p w14:paraId="29AD3572"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Good governance and transparency promoted</w:t>
            </w:r>
          </w:p>
        </w:tc>
        <w:tc>
          <w:tcPr>
            <w:tcW w:w="2693" w:type="pct"/>
            <w:shd w:val="clear" w:color="auto" w:fill="auto"/>
            <w:vAlign w:val="center"/>
            <w:hideMark/>
          </w:tcPr>
          <w:p w14:paraId="74E8132E" w14:textId="77777777" w:rsidR="004B6276" w:rsidRPr="005E2F5C" w:rsidRDefault="004B6276" w:rsidP="00D02D53">
            <w:pPr>
              <w:spacing w:after="0"/>
              <w:jc w:val="both"/>
              <w:rPr>
                <w:color w:val="000000"/>
                <w:sz w:val="20"/>
                <w:szCs w:val="20"/>
                <w:lang w:val="en-GB" w:eastAsia="en-GB"/>
              </w:rPr>
            </w:pPr>
            <w:r w:rsidRPr="005E2F5C">
              <w:rPr>
                <w:color w:val="000000"/>
                <w:sz w:val="20"/>
                <w:szCs w:val="20"/>
                <w:lang w:val="en-GB" w:eastAsia="en-GB"/>
              </w:rPr>
              <w:t xml:space="preserve">Number of CSO initiatives focusing on good governance, </w:t>
            </w:r>
            <w:proofErr w:type="gramStart"/>
            <w:r w:rsidRPr="005E2F5C">
              <w:rPr>
                <w:color w:val="000000"/>
                <w:sz w:val="20"/>
                <w:szCs w:val="20"/>
                <w:lang w:val="en-GB" w:eastAsia="en-GB"/>
              </w:rPr>
              <w:t>transparency</w:t>
            </w:r>
            <w:proofErr w:type="gramEnd"/>
            <w:r w:rsidRPr="005E2F5C">
              <w:rPr>
                <w:color w:val="000000"/>
                <w:sz w:val="20"/>
                <w:szCs w:val="20"/>
                <w:lang w:val="en-GB" w:eastAsia="en-GB"/>
              </w:rPr>
              <w:t xml:space="preserve"> and access to information</w:t>
            </w:r>
          </w:p>
        </w:tc>
      </w:tr>
    </w:tbl>
    <w:p w14:paraId="15AF47CE" w14:textId="77777777" w:rsidR="004B6276" w:rsidRPr="005E2F5C" w:rsidRDefault="004B6276" w:rsidP="00D02D53">
      <w:pPr>
        <w:jc w:val="both"/>
        <w:rPr>
          <w:rFonts w:asciiTheme="minorHAnsi" w:eastAsia="Times New Roman,MS Mincho" w:hAnsiTheme="minorHAnsi" w:cstheme="minorHAnsi"/>
          <w:lang w:val="en-GB" w:eastAsia="fr-FR"/>
        </w:rPr>
      </w:pPr>
    </w:p>
    <w:p w14:paraId="0E8F590E" w14:textId="61A197D1" w:rsidR="004B6276" w:rsidRPr="005E2F5C" w:rsidRDefault="004B6276" w:rsidP="00D02D53">
      <w:pPr>
        <w:jc w:val="both"/>
        <w:rPr>
          <w:rFonts w:asciiTheme="minorHAnsi" w:eastAsia="Times New Roman,MS Mincho" w:hAnsiTheme="minorHAnsi" w:cstheme="minorHAnsi"/>
          <w:lang w:val="en-GB" w:eastAsia="fr-FR"/>
        </w:rPr>
      </w:pPr>
      <w:r w:rsidRPr="005E2F5C">
        <w:rPr>
          <w:rFonts w:asciiTheme="minorHAnsi" w:eastAsia="Times New Roman,MS Mincho" w:hAnsiTheme="minorHAnsi" w:cstheme="minorHAnsi"/>
          <w:lang w:val="en-GB" w:eastAsia="fr-FR"/>
        </w:rPr>
        <w:t>Clarification:</w:t>
      </w:r>
    </w:p>
    <w:p w14:paraId="1B4E4875" w14:textId="691EE42F" w:rsidR="00D12293" w:rsidRPr="005E2F5C" w:rsidRDefault="00D12293" w:rsidP="00D02D53">
      <w:pPr>
        <w:jc w:val="both"/>
        <w:rPr>
          <w:rFonts w:asciiTheme="minorHAnsi" w:eastAsia="Times New Roman,MS Mincho" w:hAnsiTheme="minorHAnsi" w:cstheme="minorHAnsi"/>
          <w:lang w:val="en-GB" w:eastAsia="fr-FR"/>
        </w:rPr>
      </w:pPr>
      <w:r w:rsidRPr="005E2F5C">
        <w:rPr>
          <w:rFonts w:asciiTheme="minorHAnsi" w:eastAsia="Times New Roman,MS Mincho" w:hAnsiTheme="minorHAnsi" w:cstheme="minorHAnsi"/>
          <w:lang w:val="en-GB" w:eastAsia="fr-FR"/>
        </w:rPr>
        <w:t xml:space="preserve">Wide-spread democratic values and practices are essential to the functioning of a strong and vibrant civil society. </w:t>
      </w:r>
      <w:r w:rsidRPr="005E2F5C">
        <w:rPr>
          <w:lang w:val="en-GB"/>
        </w:rPr>
        <w:t xml:space="preserve">Civil society organisations mobilise participation in civic life and play a key role in promoting active citizen engagement in decision-making at local, </w:t>
      </w:r>
      <w:proofErr w:type="gramStart"/>
      <w:r w:rsidRPr="005E2F5C">
        <w:rPr>
          <w:lang w:val="en-GB"/>
        </w:rPr>
        <w:t>national</w:t>
      </w:r>
      <w:proofErr w:type="gramEnd"/>
      <w:r w:rsidRPr="005E2F5C">
        <w:rPr>
          <w:lang w:val="en-GB"/>
        </w:rPr>
        <w:t xml:space="preserve"> and European levels.</w:t>
      </w:r>
    </w:p>
    <w:p w14:paraId="253E616F" w14:textId="77777777" w:rsidR="00D12293" w:rsidRPr="005E2F5C" w:rsidRDefault="00D12293" w:rsidP="00D12293">
      <w:pPr>
        <w:jc w:val="both"/>
        <w:rPr>
          <w:rFonts w:asciiTheme="minorHAnsi" w:eastAsia="MS Mincho" w:hAnsiTheme="minorHAnsi" w:cstheme="minorHAnsi"/>
          <w:lang w:val="en-GB" w:eastAsia="fr-FR"/>
        </w:rPr>
      </w:pPr>
      <w:r w:rsidRPr="005E2F5C">
        <w:rPr>
          <w:rFonts w:asciiTheme="minorHAnsi" w:eastAsia="Times New Roman,MS Mincho" w:hAnsiTheme="minorHAnsi" w:cstheme="minorHAnsi"/>
          <w:lang w:val="en-GB" w:eastAsia="fr-FR"/>
        </w:rPr>
        <w:lastRenderedPageBreak/>
        <w:t>The outcome will be achieved by strengthening advocacy and watchdog role of CSOs, mobilizing citizen participation, raising civic awareness, and promoting good governance and transparency.</w:t>
      </w:r>
      <w:r w:rsidRPr="005E2F5C">
        <w:rPr>
          <w:rFonts w:asciiTheme="minorHAnsi" w:eastAsia="MS Mincho" w:hAnsiTheme="minorHAnsi" w:cstheme="minorHAnsi"/>
          <w:lang w:val="en-GB" w:eastAsia="fr-FR"/>
        </w:rPr>
        <w:t xml:space="preserve"> To </w:t>
      </w:r>
      <w:r w:rsidRPr="005E2F5C">
        <w:rPr>
          <w:rFonts w:asciiTheme="minorHAnsi" w:hAnsiTheme="minorHAnsi" w:cstheme="minorHAnsi"/>
          <w:lang w:val="en-GB"/>
        </w:rPr>
        <w:t xml:space="preserve">further strengthen CSOs role in policy process the Programme will support enhanced cooperation, </w:t>
      </w:r>
      <w:proofErr w:type="gramStart"/>
      <w:r w:rsidRPr="005E2F5C">
        <w:rPr>
          <w:rFonts w:asciiTheme="minorHAnsi" w:hAnsiTheme="minorHAnsi" w:cstheme="minorHAnsi"/>
          <w:lang w:val="en-GB"/>
        </w:rPr>
        <w:t>networking</w:t>
      </w:r>
      <w:proofErr w:type="gramEnd"/>
      <w:r w:rsidRPr="005E2F5C">
        <w:rPr>
          <w:rFonts w:asciiTheme="minorHAnsi" w:hAnsiTheme="minorHAnsi" w:cstheme="minorHAnsi"/>
          <w:lang w:val="en-GB"/>
        </w:rPr>
        <w:t xml:space="preserve"> and coalition-building among CSOs and encourage the use of research and analysis to inform CSO advocacy that leads to enhanced understanding of challenges and increases their influence. </w:t>
      </w:r>
    </w:p>
    <w:p w14:paraId="652CAA40" w14:textId="77777777" w:rsidR="00D12293" w:rsidRPr="005E2F5C" w:rsidRDefault="00D12293" w:rsidP="00D12293">
      <w:pPr>
        <w:jc w:val="both"/>
        <w:rPr>
          <w:rFonts w:asciiTheme="minorHAnsi" w:hAnsiTheme="minorHAnsi" w:cstheme="minorHAnsi"/>
          <w:lang w:val="en-GB"/>
        </w:rPr>
      </w:pPr>
      <w:r w:rsidRPr="005E2F5C">
        <w:rPr>
          <w:rFonts w:asciiTheme="minorHAnsi" w:hAnsiTheme="minorHAnsi" w:cstheme="minorHAnsi"/>
          <w:lang w:val="en-GB"/>
        </w:rPr>
        <w:t>The Programme seeks to support various types of initiatives aiming at improving the understanding of the concept of active citizenship and fostering civic participation in public affairs, including the youth and the minorities.</w:t>
      </w:r>
    </w:p>
    <w:p w14:paraId="7D8C4BA9" w14:textId="77777777" w:rsidR="00D12293" w:rsidRPr="005E2F5C" w:rsidRDefault="00D12293" w:rsidP="00D12293">
      <w:pPr>
        <w:jc w:val="both"/>
        <w:rPr>
          <w:rFonts w:asciiTheme="minorHAnsi" w:hAnsiTheme="minorHAnsi" w:cstheme="minorHAnsi"/>
          <w:color w:val="000000"/>
          <w:lang w:val="en-GB" w:eastAsia="en-GB"/>
        </w:rPr>
      </w:pPr>
      <w:r w:rsidRPr="005E2F5C">
        <w:rPr>
          <w:rFonts w:asciiTheme="minorHAnsi" w:hAnsiTheme="minorHAnsi" w:cstheme="minorHAnsi"/>
          <w:lang w:val="en-GB"/>
        </w:rPr>
        <w:t>Initiatives that safeguard civic space and promote and advocate for enabling environment for civil society, including good governance, transparency and access to information will also be supported. Under this outcome CSOs active in environmental affairs and climate change are eligible to apply for grants that aim to</w:t>
      </w:r>
      <w:r w:rsidRPr="005E2F5C">
        <w:rPr>
          <w:rFonts w:asciiTheme="minorHAnsi" w:hAnsiTheme="minorHAnsi" w:cstheme="minorHAnsi"/>
          <w:color w:val="000000"/>
          <w:lang w:val="en-GB" w:eastAsia="en-GB"/>
        </w:rPr>
        <w:t xml:space="preserve"> promote civic participation, advocacy and active citizenship and advocate for greater transparency and access to information in environmental affairs. </w:t>
      </w:r>
    </w:p>
    <w:p w14:paraId="615869E6" w14:textId="77777777" w:rsidR="004B6276" w:rsidRPr="005E2F5C" w:rsidRDefault="004B6276" w:rsidP="00D02D53">
      <w:pPr>
        <w:jc w:val="both"/>
        <w:rPr>
          <w:rFonts w:asciiTheme="minorHAnsi" w:eastAsia="Times New Roman,MS Mincho" w:hAnsiTheme="minorHAnsi" w:cstheme="minorHAnsi"/>
          <w:lang w:val="en-GB" w:eastAsia="fr-FR"/>
        </w:rPr>
      </w:pPr>
    </w:p>
    <w:p w14:paraId="0B63E31A" w14:textId="398F5D23" w:rsidR="006D3D2F" w:rsidRPr="005E2F5C" w:rsidRDefault="004B6276" w:rsidP="00D02D53">
      <w:pPr>
        <w:jc w:val="both"/>
        <w:rPr>
          <w:rFonts w:asciiTheme="minorHAnsi" w:eastAsia="Times New Roman,MS Mincho" w:hAnsiTheme="minorHAnsi" w:cstheme="minorHAnsi"/>
          <w:b/>
          <w:bCs/>
          <w:lang w:val="en-GB" w:eastAsia="fr-FR"/>
        </w:rPr>
      </w:pPr>
      <w:r w:rsidRPr="005E2F5C">
        <w:rPr>
          <w:rFonts w:asciiTheme="minorHAnsi" w:eastAsia="Times New Roman,MS Mincho" w:hAnsiTheme="minorHAnsi" w:cstheme="minorHAnsi"/>
          <w:b/>
          <w:bCs/>
          <w:lang w:val="en-GB" w:eastAsia="fr-FR"/>
        </w:rPr>
        <w:t xml:space="preserve">Outcome 2: </w:t>
      </w:r>
      <w:r w:rsidRPr="005E2F5C">
        <w:rPr>
          <w:b/>
          <w:bCs/>
          <w:color w:val="000000"/>
          <w:lang w:val="en-GB" w:eastAsia="en-GB"/>
        </w:rPr>
        <w:t>Increased support for human rights (and equal treatment)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77"/>
        <w:gridCol w:w="2500"/>
        <w:gridCol w:w="4875"/>
      </w:tblGrid>
      <w:tr w:rsidR="00AD55BE" w:rsidRPr="00F212AF" w14:paraId="73833A38" w14:textId="77777777" w:rsidTr="00F13FF7">
        <w:trPr>
          <w:trHeight w:val="484"/>
        </w:trPr>
        <w:tc>
          <w:tcPr>
            <w:tcW w:w="926" w:type="pct"/>
            <w:vMerge w:val="restart"/>
            <w:shd w:val="clear" w:color="auto" w:fill="auto"/>
            <w:vAlign w:val="center"/>
            <w:hideMark/>
          </w:tcPr>
          <w:p w14:paraId="577DDAB7" w14:textId="77777777" w:rsidR="00AD55BE" w:rsidRPr="005E2F5C" w:rsidRDefault="00AD55BE" w:rsidP="00D02D53">
            <w:pPr>
              <w:spacing w:after="0"/>
              <w:jc w:val="both"/>
              <w:rPr>
                <w:b/>
                <w:color w:val="000000"/>
                <w:sz w:val="20"/>
                <w:szCs w:val="20"/>
                <w:lang w:val="en-GB" w:eastAsia="en-GB"/>
              </w:rPr>
            </w:pPr>
            <w:r w:rsidRPr="005E2F5C">
              <w:rPr>
                <w:b/>
                <w:color w:val="000000"/>
                <w:sz w:val="20"/>
                <w:szCs w:val="20"/>
                <w:lang w:val="en-GB" w:eastAsia="en-GB"/>
              </w:rPr>
              <w:t>Outcome 2</w:t>
            </w:r>
          </w:p>
        </w:tc>
        <w:tc>
          <w:tcPr>
            <w:tcW w:w="1381" w:type="pct"/>
            <w:vMerge w:val="restart"/>
            <w:shd w:val="clear" w:color="auto" w:fill="auto"/>
            <w:vAlign w:val="center"/>
            <w:hideMark/>
          </w:tcPr>
          <w:p w14:paraId="123C9312" w14:textId="77777777" w:rsidR="00AD55BE" w:rsidRPr="005E2F5C" w:rsidRDefault="00AD55BE" w:rsidP="00D02D53">
            <w:pPr>
              <w:spacing w:after="0"/>
              <w:jc w:val="both"/>
              <w:rPr>
                <w:b/>
                <w:color w:val="000000"/>
                <w:sz w:val="20"/>
                <w:szCs w:val="20"/>
                <w:lang w:val="en-GB" w:eastAsia="en-GB"/>
              </w:rPr>
            </w:pPr>
            <w:r w:rsidRPr="005E2F5C">
              <w:rPr>
                <w:b/>
                <w:color w:val="000000"/>
                <w:sz w:val="20"/>
                <w:szCs w:val="20"/>
                <w:lang w:val="en-GB" w:eastAsia="en-GB"/>
              </w:rPr>
              <w:t>Increased support for human rights (and equal treatment)</w:t>
            </w:r>
          </w:p>
        </w:tc>
        <w:tc>
          <w:tcPr>
            <w:tcW w:w="2693" w:type="pct"/>
            <w:shd w:val="clear" w:color="auto" w:fill="auto"/>
            <w:vAlign w:val="center"/>
            <w:hideMark/>
          </w:tcPr>
          <w:p w14:paraId="38E2E54B"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Share of target group showing concern for human rights</w:t>
            </w:r>
          </w:p>
        </w:tc>
      </w:tr>
      <w:tr w:rsidR="00AD55BE" w:rsidRPr="00F212AF" w14:paraId="024DC94A" w14:textId="77777777" w:rsidTr="00F13FF7">
        <w:trPr>
          <w:trHeight w:val="392"/>
        </w:trPr>
        <w:tc>
          <w:tcPr>
            <w:tcW w:w="926" w:type="pct"/>
            <w:vMerge/>
            <w:vAlign w:val="center"/>
            <w:hideMark/>
          </w:tcPr>
          <w:p w14:paraId="0C5D7D98" w14:textId="77777777" w:rsidR="00AD55BE" w:rsidRPr="005E2F5C" w:rsidRDefault="00AD55BE" w:rsidP="00D02D53">
            <w:pPr>
              <w:spacing w:after="0"/>
              <w:jc w:val="both"/>
              <w:rPr>
                <w:color w:val="000000"/>
                <w:sz w:val="20"/>
                <w:szCs w:val="20"/>
                <w:lang w:val="en-GB" w:eastAsia="en-GB"/>
              </w:rPr>
            </w:pPr>
          </w:p>
        </w:tc>
        <w:tc>
          <w:tcPr>
            <w:tcW w:w="1381" w:type="pct"/>
            <w:vMerge/>
            <w:vAlign w:val="center"/>
            <w:hideMark/>
          </w:tcPr>
          <w:p w14:paraId="79A7DE72" w14:textId="77777777" w:rsidR="00AD55BE" w:rsidRPr="005E2F5C" w:rsidRDefault="00AD55BE" w:rsidP="00D02D53">
            <w:pPr>
              <w:spacing w:after="0"/>
              <w:jc w:val="both"/>
              <w:rPr>
                <w:color w:val="000000"/>
                <w:sz w:val="20"/>
                <w:szCs w:val="20"/>
                <w:lang w:val="en-GB" w:eastAsia="en-GB"/>
              </w:rPr>
            </w:pPr>
          </w:p>
        </w:tc>
        <w:tc>
          <w:tcPr>
            <w:tcW w:w="2693" w:type="pct"/>
            <w:shd w:val="clear" w:color="auto" w:fill="auto"/>
            <w:vAlign w:val="center"/>
            <w:hideMark/>
          </w:tcPr>
          <w:p w14:paraId="380DBE64"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Share of target group favourable to gender equality</w:t>
            </w:r>
          </w:p>
        </w:tc>
      </w:tr>
      <w:tr w:rsidR="00AD55BE" w:rsidRPr="00F212AF" w14:paraId="7578D21C" w14:textId="77777777" w:rsidTr="00F13FF7">
        <w:trPr>
          <w:trHeight w:val="554"/>
        </w:trPr>
        <w:tc>
          <w:tcPr>
            <w:tcW w:w="926" w:type="pct"/>
            <w:vMerge/>
            <w:vAlign w:val="center"/>
            <w:hideMark/>
          </w:tcPr>
          <w:p w14:paraId="7D2FCFE1" w14:textId="77777777" w:rsidR="00AD55BE" w:rsidRPr="005E2F5C" w:rsidRDefault="00AD55BE" w:rsidP="00D02D53">
            <w:pPr>
              <w:spacing w:after="0"/>
              <w:jc w:val="both"/>
              <w:rPr>
                <w:color w:val="000000"/>
                <w:sz w:val="20"/>
                <w:szCs w:val="20"/>
                <w:lang w:val="en-GB" w:eastAsia="en-GB"/>
              </w:rPr>
            </w:pPr>
          </w:p>
        </w:tc>
        <w:tc>
          <w:tcPr>
            <w:tcW w:w="1381" w:type="pct"/>
            <w:vMerge/>
            <w:vAlign w:val="center"/>
            <w:hideMark/>
          </w:tcPr>
          <w:p w14:paraId="2E46ED31" w14:textId="77777777" w:rsidR="00AD55BE" w:rsidRPr="005E2F5C" w:rsidRDefault="00AD55BE" w:rsidP="00D02D53">
            <w:pPr>
              <w:spacing w:after="0"/>
              <w:jc w:val="both"/>
              <w:rPr>
                <w:color w:val="000000"/>
                <w:sz w:val="20"/>
                <w:szCs w:val="20"/>
                <w:lang w:val="en-GB" w:eastAsia="en-GB"/>
              </w:rPr>
            </w:pPr>
          </w:p>
        </w:tc>
        <w:tc>
          <w:tcPr>
            <w:tcW w:w="2693" w:type="pct"/>
            <w:shd w:val="clear" w:color="auto" w:fill="auto"/>
            <w:vAlign w:val="center"/>
            <w:hideMark/>
          </w:tcPr>
          <w:p w14:paraId="72064458" w14:textId="5BD2C0D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Number of beneficiaries of services provided or improved</w:t>
            </w:r>
          </w:p>
        </w:tc>
      </w:tr>
      <w:tr w:rsidR="00AD55BE" w:rsidRPr="00F212AF" w14:paraId="1EC894FE" w14:textId="77777777" w:rsidTr="00F13FF7">
        <w:trPr>
          <w:trHeight w:val="406"/>
        </w:trPr>
        <w:tc>
          <w:tcPr>
            <w:tcW w:w="926" w:type="pct"/>
            <w:vMerge/>
            <w:vAlign w:val="center"/>
            <w:hideMark/>
          </w:tcPr>
          <w:p w14:paraId="37217CF9" w14:textId="77777777" w:rsidR="00AD55BE" w:rsidRPr="005E2F5C" w:rsidRDefault="00AD55BE" w:rsidP="00D02D53">
            <w:pPr>
              <w:spacing w:after="0"/>
              <w:jc w:val="both"/>
              <w:rPr>
                <w:color w:val="000000"/>
                <w:sz w:val="20"/>
                <w:szCs w:val="20"/>
                <w:lang w:val="en-GB" w:eastAsia="en-GB"/>
              </w:rPr>
            </w:pPr>
          </w:p>
        </w:tc>
        <w:tc>
          <w:tcPr>
            <w:tcW w:w="1381" w:type="pct"/>
            <w:vMerge/>
            <w:vAlign w:val="center"/>
            <w:hideMark/>
          </w:tcPr>
          <w:p w14:paraId="1AC43F97" w14:textId="77777777" w:rsidR="00AD55BE" w:rsidRPr="005E2F5C" w:rsidRDefault="00AD55BE" w:rsidP="00D02D53">
            <w:pPr>
              <w:spacing w:after="0"/>
              <w:jc w:val="both"/>
              <w:rPr>
                <w:color w:val="000000"/>
                <w:sz w:val="20"/>
                <w:szCs w:val="20"/>
                <w:lang w:val="en-GB" w:eastAsia="en-GB"/>
              </w:rPr>
            </w:pPr>
          </w:p>
        </w:tc>
        <w:tc>
          <w:tcPr>
            <w:tcW w:w="2693" w:type="pct"/>
            <w:shd w:val="clear" w:color="auto" w:fill="auto"/>
            <w:vAlign w:val="center"/>
            <w:hideMark/>
          </w:tcPr>
          <w:p w14:paraId="75C8433E"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Number of national laws and policies influenced</w:t>
            </w:r>
          </w:p>
        </w:tc>
      </w:tr>
      <w:tr w:rsidR="00AD55BE" w:rsidRPr="00F212AF" w14:paraId="1BEF7907" w14:textId="77777777" w:rsidTr="00F13FF7">
        <w:trPr>
          <w:trHeight w:val="682"/>
        </w:trPr>
        <w:tc>
          <w:tcPr>
            <w:tcW w:w="926" w:type="pct"/>
            <w:shd w:val="clear" w:color="auto" w:fill="auto"/>
            <w:vAlign w:val="center"/>
            <w:hideMark/>
          </w:tcPr>
          <w:p w14:paraId="1008844E"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Output 2.1</w:t>
            </w:r>
          </w:p>
        </w:tc>
        <w:tc>
          <w:tcPr>
            <w:tcW w:w="1381" w:type="pct"/>
            <w:shd w:val="clear" w:color="auto" w:fill="auto"/>
            <w:vAlign w:val="center"/>
            <w:hideMark/>
          </w:tcPr>
          <w:p w14:paraId="31C8685F"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 xml:space="preserve">Awareness of human rights and equal treatment supported </w:t>
            </w:r>
          </w:p>
        </w:tc>
        <w:tc>
          <w:tcPr>
            <w:tcW w:w="2693" w:type="pct"/>
            <w:shd w:val="clear" w:color="auto" w:fill="auto"/>
            <w:vAlign w:val="center"/>
            <w:hideMark/>
          </w:tcPr>
          <w:p w14:paraId="7058DBA7"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Number of people educated about human rights by CSOs</w:t>
            </w:r>
          </w:p>
        </w:tc>
      </w:tr>
      <w:tr w:rsidR="00AD55BE" w:rsidRPr="00F212AF" w14:paraId="764F1E2C" w14:textId="77777777" w:rsidTr="00F13FF7">
        <w:trPr>
          <w:trHeight w:val="650"/>
        </w:trPr>
        <w:tc>
          <w:tcPr>
            <w:tcW w:w="926" w:type="pct"/>
            <w:shd w:val="clear" w:color="auto" w:fill="auto"/>
            <w:vAlign w:val="center"/>
            <w:hideMark/>
          </w:tcPr>
          <w:p w14:paraId="4D02AFA0"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Output 2.2</w:t>
            </w:r>
          </w:p>
        </w:tc>
        <w:tc>
          <w:tcPr>
            <w:tcW w:w="1381" w:type="pct"/>
            <w:shd w:val="clear" w:color="auto" w:fill="auto"/>
            <w:vAlign w:val="center"/>
            <w:hideMark/>
          </w:tcPr>
          <w:p w14:paraId="7B185BCC"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CSO human rights advocacy supported</w:t>
            </w:r>
          </w:p>
        </w:tc>
        <w:tc>
          <w:tcPr>
            <w:tcW w:w="2693" w:type="pct"/>
            <w:shd w:val="clear" w:color="auto" w:fill="auto"/>
            <w:vAlign w:val="center"/>
            <w:hideMark/>
          </w:tcPr>
          <w:p w14:paraId="708696AB"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Number of CSOs engaged in advocacy work on human rights and equal treatment</w:t>
            </w:r>
          </w:p>
        </w:tc>
      </w:tr>
      <w:tr w:rsidR="00AD55BE" w:rsidRPr="00F212AF" w14:paraId="2C5080D1" w14:textId="77777777" w:rsidTr="00F13FF7">
        <w:trPr>
          <w:trHeight w:val="390"/>
        </w:trPr>
        <w:tc>
          <w:tcPr>
            <w:tcW w:w="926" w:type="pct"/>
            <w:vMerge w:val="restart"/>
            <w:shd w:val="clear" w:color="auto" w:fill="auto"/>
            <w:vAlign w:val="center"/>
            <w:hideMark/>
          </w:tcPr>
          <w:p w14:paraId="54456828"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Output 2.3</w:t>
            </w:r>
          </w:p>
        </w:tc>
        <w:tc>
          <w:tcPr>
            <w:tcW w:w="1381" w:type="pct"/>
            <w:vMerge w:val="restart"/>
            <w:shd w:val="clear" w:color="auto" w:fill="auto"/>
            <w:vAlign w:val="center"/>
            <w:hideMark/>
          </w:tcPr>
          <w:p w14:paraId="05B9AF36"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Awareness raising of gender equality supported</w:t>
            </w:r>
          </w:p>
        </w:tc>
        <w:tc>
          <w:tcPr>
            <w:tcW w:w="2693" w:type="pct"/>
            <w:shd w:val="clear" w:color="auto" w:fill="auto"/>
            <w:vAlign w:val="center"/>
            <w:hideMark/>
          </w:tcPr>
          <w:p w14:paraId="3F835494"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Number of initiatives addressing gender equality</w:t>
            </w:r>
          </w:p>
        </w:tc>
      </w:tr>
      <w:tr w:rsidR="00AD55BE" w:rsidRPr="00F212AF" w14:paraId="44A8801B" w14:textId="77777777" w:rsidTr="00F13FF7">
        <w:trPr>
          <w:trHeight w:val="474"/>
        </w:trPr>
        <w:tc>
          <w:tcPr>
            <w:tcW w:w="926" w:type="pct"/>
            <w:vMerge/>
            <w:vAlign w:val="center"/>
            <w:hideMark/>
          </w:tcPr>
          <w:p w14:paraId="276A9D9B" w14:textId="77777777" w:rsidR="00AD55BE" w:rsidRPr="005E2F5C" w:rsidRDefault="00AD55BE" w:rsidP="00D02D53">
            <w:pPr>
              <w:spacing w:after="0"/>
              <w:jc w:val="both"/>
              <w:rPr>
                <w:color w:val="000000"/>
                <w:sz w:val="20"/>
                <w:szCs w:val="20"/>
                <w:lang w:val="en-GB" w:eastAsia="en-GB"/>
              </w:rPr>
            </w:pPr>
          </w:p>
        </w:tc>
        <w:tc>
          <w:tcPr>
            <w:tcW w:w="1381" w:type="pct"/>
            <w:vMerge/>
            <w:vAlign w:val="center"/>
            <w:hideMark/>
          </w:tcPr>
          <w:p w14:paraId="402D0851" w14:textId="77777777" w:rsidR="00AD55BE" w:rsidRPr="005E2F5C" w:rsidRDefault="00AD55BE" w:rsidP="00D02D53">
            <w:pPr>
              <w:spacing w:after="0"/>
              <w:jc w:val="both"/>
              <w:rPr>
                <w:color w:val="000000"/>
                <w:sz w:val="20"/>
                <w:szCs w:val="20"/>
                <w:lang w:val="en-GB" w:eastAsia="en-GB"/>
              </w:rPr>
            </w:pPr>
          </w:p>
        </w:tc>
        <w:tc>
          <w:tcPr>
            <w:tcW w:w="2693" w:type="pct"/>
            <w:shd w:val="clear" w:color="auto" w:fill="auto"/>
            <w:vAlign w:val="center"/>
            <w:hideMark/>
          </w:tcPr>
          <w:p w14:paraId="1AA4F06F" w14:textId="77777777" w:rsidR="00AD55BE" w:rsidRPr="005E2F5C" w:rsidRDefault="00AD55BE" w:rsidP="00D02D53">
            <w:pPr>
              <w:spacing w:after="0"/>
              <w:jc w:val="both"/>
              <w:rPr>
                <w:color w:val="000000"/>
                <w:sz w:val="20"/>
                <w:szCs w:val="20"/>
                <w:lang w:val="en-GB" w:eastAsia="en-GB"/>
              </w:rPr>
            </w:pPr>
            <w:r w:rsidRPr="005E2F5C">
              <w:rPr>
                <w:color w:val="000000"/>
                <w:sz w:val="20"/>
                <w:szCs w:val="20"/>
                <w:lang w:val="en-GB" w:eastAsia="en-GB"/>
              </w:rPr>
              <w:t>Number of awareness raising campaigns carried out</w:t>
            </w:r>
          </w:p>
        </w:tc>
      </w:tr>
    </w:tbl>
    <w:p w14:paraId="3141C185" w14:textId="4CCCF625" w:rsidR="00F36A57" w:rsidRPr="005E2F5C" w:rsidRDefault="00F36A57" w:rsidP="00D02D53">
      <w:pPr>
        <w:jc w:val="both"/>
        <w:rPr>
          <w:rFonts w:eastAsia="Times New Roman,MS Mincho"/>
          <w:lang w:val="en-GB" w:eastAsia="fr-FR"/>
        </w:rPr>
      </w:pPr>
    </w:p>
    <w:p w14:paraId="6882AD93" w14:textId="5D6A52B4" w:rsidR="00836F02" w:rsidRPr="005E2F5C" w:rsidRDefault="00D12293" w:rsidP="00D02D53">
      <w:pPr>
        <w:jc w:val="both"/>
        <w:rPr>
          <w:rFonts w:eastAsia="Times New Roman,MS Mincho"/>
          <w:lang w:val="en-GB" w:eastAsia="fr-FR"/>
        </w:rPr>
      </w:pPr>
      <w:r w:rsidRPr="005E2F5C">
        <w:rPr>
          <w:rFonts w:eastAsia="Times New Roman,MS Mincho"/>
          <w:lang w:val="en-GB" w:eastAsia="fr-FR"/>
        </w:rPr>
        <w:t>Clarification:</w:t>
      </w:r>
    </w:p>
    <w:p w14:paraId="3B7AA816" w14:textId="77777777" w:rsidR="00A56E46" w:rsidRPr="005E2F5C" w:rsidRDefault="00A56E46" w:rsidP="00A56E46">
      <w:pPr>
        <w:jc w:val="both"/>
        <w:rPr>
          <w:rFonts w:asciiTheme="minorHAnsi" w:hAnsiTheme="minorHAnsi" w:cstheme="minorHAnsi"/>
          <w:highlight w:val="yellow"/>
          <w:lang w:val="en-GB"/>
        </w:rPr>
      </w:pPr>
      <w:r w:rsidRPr="005E2F5C">
        <w:rPr>
          <w:lang w:val="en-GB"/>
        </w:rPr>
        <w:t xml:space="preserve">Fostering human rights and preventing discrimination and extremism are priorities for the donor countries. With growing political extremism across Europe, human rights and democratic values have been put under pressure. </w:t>
      </w:r>
    </w:p>
    <w:p w14:paraId="6B8F231D" w14:textId="77777777" w:rsidR="00A56E46" w:rsidRPr="005E2F5C" w:rsidRDefault="00A56E46" w:rsidP="00A56E46">
      <w:pPr>
        <w:jc w:val="both"/>
        <w:rPr>
          <w:rFonts w:asciiTheme="minorHAnsi" w:hAnsiTheme="minorHAnsi" w:cstheme="minorHAnsi"/>
          <w:lang w:val="en-GB"/>
        </w:rPr>
      </w:pPr>
      <w:r w:rsidRPr="005E2F5C">
        <w:rPr>
          <w:rFonts w:asciiTheme="minorHAnsi" w:hAnsiTheme="minorHAnsi" w:cstheme="minorHAnsi"/>
          <w:lang w:val="en-GB"/>
        </w:rPr>
        <w:t>The Programme seeks to support initiatives that strengthen CSOs in their role as preservers and fosterers of human rights, actively defend human rights and promote equal treatment on the grounds of racial or ethnic origin, religion or belief, gender, disability, age, sexual orientation, etc. The Programme also seeks to support initiatives that promote values, beliefs and attitudes that encourage individuals to understand and exercise their rights and enhance human rights education in general.</w:t>
      </w:r>
    </w:p>
    <w:p w14:paraId="6D43088B" w14:textId="77777777" w:rsidR="00A56E46" w:rsidRPr="005E2F5C" w:rsidRDefault="00A56E46" w:rsidP="00A56E46">
      <w:pPr>
        <w:jc w:val="both"/>
        <w:rPr>
          <w:rFonts w:asciiTheme="minorHAnsi" w:hAnsiTheme="minorHAnsi" w:cstheme="minorHAnsi"/>
          <w:color w:val="000000"/>
          <w:lang w:val="en-GB" w:eastAsia="en-GB"/>
        </w:rPr>
      </w:pPr>
      <w:r w:rsidRPr="005E2F5C">
        <w:rPr>
          <w:rFonts w:asciiTheme="minorHAnsi" w:hAnsiTheme="minorHAnsi" w:cstheme="minorHAnsi"/>
          <w:color w:val="000000"/>
          <w:lang w:val="en-GB" w:eastAsia="en-GB"/>
        </w:rPr>
        <w:t xml:space="preserve">CSO initiatives that raise awareness and tackle gender inequality are also eligible for support. </w:t>
      </w:r>
    </w:p>
    <w:p w14:paraId="3325066E" w14:textId="77777777" w:rsidR="00727D5A" w:rsidRPr="005E2F5C" w:rsidRDefault="00727D5A" w:rsidP="00A56E46">
      <w:pPr>
        <w:jc w:val="both"/>
        <w:rPr>
          <w:rFonts w:asciiTheme="minorHAnsi" w:hAnsiTheme="minorHAnsi" w:cstheme="minorHAnsi"/>
          <w:lang w:val="en-GB"/>
        </w:rPr>
      </w:pPr>
    </w:p>
    <w:p w14:paraId="35BCDD5F" w14:textId="047DD958" w:rsidR="001F4C5A" w:rsidRPr="00CA532F" w:rsidRDefault="00CF058B" w:rsidP="00A56E46">
      <w:pPr>
        <w:jc w:val="both"/>
        <w:rPr>
          <w:rFonts w:asciiTheme="minorHAnsi" w:hAnsiTheme="minorHAnsi" w:cstheme="minorHAnsi"/>
          <w:b/>
          <w:bCs/>
          <w:lang w:val="en-GB"/>
        </w:rPr>
      </w:pPr>
      <w:r w:rsidRPr="00CA532F">
        <w:rPr>
          <w:rFonts w:asciiTheme="minorHAnsi" w:hAnsiTheme="minorHAnsi" w:cstheme="minorHAnsi"/>
          <w:b/>
          <w:bCs/>
          <w:lang w:val="en-GB"/>
        </w:rPr>
        <w:t xml:space="preserve">Outcome 4: </w:t>
      </w:r>
      <w:r w:rsidR="00CA532F" w:rsidRPr="00CA532F">
        <w:rPr>
          <w:rFonts w:asciiTheme="minorHAnsi" w:hAnsiTheme="minorHAnsi" w:cstheme="minorHAnsi"/>
          <w:b/>
          <w:bCs/>
          <w:lang w:val="en-GB"/>
        </w:rPr>
        <w:t xml:space="preserve">Enhanced capacity and sustainability of CSOs </w:t>
      </w:r>
    </w:p>
    <w:p w14:paraId="1D4017F4" w14:textId="25D6FAFB" w:rsidR="001F4C5A" w:rsidRDefault="00CA532F" w:rsidP="00A56E46">
      <w:pPr>
        <w:jc w:val="both"/>
        <w:rPr>
          <w:rFonts w:asciiTheme="minorHAnsi" w:hAnsiTheme="minorHAnsi" w:cstheme="minorHAnsi"/>
          <w:lang w:val="en-GB"/>
        </w:rPr>
      </w:pPr>
      <w:r>
        <w:rPr>
          <w:rFonts w:asciiTheme="minorHAnsi" w:hAnsiTheme="minorHAnsi" w:cstheme="minorHAnsi"/>
          <w:lang w:val="en-GB"/>
        </w:rPr>
        <w:t>Capacity building is an integral part of institutional grants</w:t>
      </w:r>
      <w:r w:rsidR="006C6842">
        <w:rPr>
          <w:rFonts w:asciiTheme="minorHAnsi" w:hAnsiTheme="minorHAnsi" w:cstheme="minorHAnsi"/>
          <w:lang w:val="en-GB"/>
        </w:rPr>
        <w:t>. Applicants should in their multi</w:t>
      </w:r>
      <w:r w:rsidR="00C86026">
        <w:rPr>
          <w:rFonts w:asciiTheme="minorHAnsi" w:hAnsiTheme="minorHAnsi" w:cstheme="minorHAnsi"/>
          <w:lang w:val="en-GB"/>
        </w:rPr>
        <w:t>-</w:t>
      </w:r>
      <w:r w:rsidR="006C6842">
        <w:rPr>
          <w:rFonts w:asciiTheme="minorHAnsi" w:hAnsiTheme="minorHAnsi" w:cstheme="minorHAnsi"/>
          <w:lang w:val="en-GB"/>
        </w:rPr>
        <w:t xml:space="preserve">annual organisational </w:t>
      </w:r>
      <w:r w:rsidR="00C86026">
        <w:rPr>
          <w:rFonts w:asciiTheme="minorHAnsi" w:hAnsiTheme="minorHAnsi" w:cstheme="minorHAnsi"/>
          <w:lang w:val="en-GB"/>
        </w:rPr>
        <w:t xml:space="preserve">strategy and/or workplan, alongside the objectives targeting the above outcomes, </w:t>
      </w:r>
      <w:r w:rsidR="00C86026">
        <w:rPr>
          <w:rFonts w:asciiTheme="minorHAnsi" w:hAnsiTheme="minorHAnsi" w:cstheme="minorHAnsi"/>
          <w:lang w:val="en-GB"/>
        </w:rPr>
        <w:lastRenderedPageBreak/>
        <w:t>address also the objectives targeting their capacities</w:t>
      </w:r>
      <w:r w:rsidR="00C86026" w:rsidRPr="00170900">
        <w:rPr>
          <w:rFonts w:asciiTheme="minorHAnsi" w:hAnsiTheme="minorHAnsi" w:cstheme="minorHAnsi"/>
          <w:lang w:val="en-GB"/>
        </w:rPr>
        <w:t>.</w:t>
      </w:r>
      <w:r w:rsidR="000F75B0" w:rsidRPr="00170900">
        <w:rPr>
          <w:rFonts w:asciiTheme="minorHAnsi" w:hAnsiTheme="minorHAnsi" w:cstheme="minorHAnsi"/>
          <w:lang w:val="en-GB"/>
        </w:rPr>
        <w:t xml:space="preserve"> </w:t>
      </w:r>
      <w:r w:rsidR="00FE5731" w:rsidRPr="00170900">
        <w:rPr>
          <w:rFonts w:asciiTheme="minorHAnsi" w:hAnsiTheme="minorHAnsi" w:cstheme="minorHAnsi"/>
          <w:lang w:val="en-GB"/>
        </w:rPr>
        <w:t xml:space="preserve">Applicants are required to elaborate their capacity building </w:t>
      </w:r>
      <w:r w:rsidR="00C15908" w:rsidRPr="00170900">
        <w:rPr>
          <w:rFonts w:asciiTheme="minorHAnsi" w:hAnsiTheme="minorHAnsi" w:cstheme="minorHAnsi"/>
          <w:lang w:val="en-GB"/>
        </w:rPr>
        <w:t xml:space="preserve">objectives in the application form. </w:t>
      </w:r>
      <w:r w:rsidR="0049712B" w:rsidRPr="00170900">
        <w:rPr>
          <w:rFonts w:asciiTheme="minorHAnsi" w:hAnsiTheme="minorHAnsi" w:cstheme="minorHAnsi"/>
          <w:lang w:val="en-GB"/>
        </w:rPr>
        <w:t>Final capacity building plan will be agreed in cooperation with the Fund Operator. It is expected that approximately 10% on the overall ACF grant shall be earmarked for capacity building activities.</w:t>
      </w:r>
      <w:r w:rsidR="00C15908" w:rsidRPr="00170900">
        <w:rPr>
          <w:rFonts w:asciiTheme="minorHAnsi" w:hAnsiTheme="minorHAnsi" w:cstheme="minorHAnsi"/>
          <w:lang w:val="en-GB"/>
        </w:rPr>
        <w:t xml:space="preserve"> It is advisable to engage external experts into development and implementation of capacity building plan</w:t>
      </w:r>
      <w:r w:rsidR="007A6D01" w:rsidRPr="00170900">
        <w:rPr>
          <w:rFonts w:asciiTheme="minorHAnsi" w:hAnsiTheme="minorHAnsi" w:cstheme="minorHAnsi"/>
          <w:lang w:val="en-GB"/>
        </w:rPr>
        <w:t>.</w:t>
      </w:r>
      <w:r w:rsidR="00C15908">
        <w:rPr>
          <w:rFonts w:asciiTheme="minorHAnsi" w:hAnsiTheme="minorHAnsi" w:cstheme="minorHAnsi"/>
          <w:lang w:val="en-GB"/>
        </w:rPr>
        <w:t xml:space="preserve"> </w:t>
      </w:r>
    </w:p>
    <w:p w14:paraId="4E9433CA" w14:textId="77777777" w:rsidR="00C86026" w:rsidRPr="005E2F5C" w:rsidRDefault="00C86026" w:rsidP="00A56E46">
      <w:pPr>
        <w:jc w:val="both"/>
        <w:rPr>
          <w:rFonts w:asciiTheme="minorHAnsi" w:hAnsiTheme="minorHAnsi" w:cstheme="minorHAnsi"/>
          <w:lang w:val="en-GB"/>
        </w:rPr>
      </w:pPr>
    </w:p>
    <w:p w14:paraId="6E0BCD2B" w14:textId="60560435" w:rsidR="004B73FF" w:rsidRPr="004B73FF" w:rsidRDefault="007B016E" w:rsidP="00D02D53">
      <w:pPr>
        <w:pStyle w:val="Heading2"/>
        <w:jc w:val="both"/>
        <w:rPr>
          <w:rFonts w:eastAsia="Times New Roman,MS Mincho"/>
          <w:lang w:eastAsia="fr-FR"/>
        </w:rPr>
      </w:pPr>
      <w:r w:rsidRPr="005E2F5C">
        <w:rPr>
          <w:rFonts w:eastAsia="Times New Roman,MS Mincho"/>
          <w:lang w:eastAsia="fr-FR"/>
        </w:rPr>
        <w:t>Financial provisions of the Call for Institutional Grants</w:t>
      </w:r>
    </w:p>
    <w:p w14:paraId="3B107D40" w14:textId="68EC37DD" w:rsidR="00B6492C" w:rsidRPr="005A1529" w:rsidRDefault="00B6492C" w:rsidP="00D02D53">
      <w:pPr>
        <w:pStyle w:val="Heading3"/>
        <w:jc w:val="both"/>
        <w:rPr>
          <w:rFonts w:asciiTheme="minorHAnsi" w:eastAsia="Times New Roman,MS Mincho" w:hAnsiTheme="minorHAnsi" w:cstheme="minorHAnsi"/>
          <w:sz w:val="22"/>
          <w:szCs w:val="22"/>
          <w:lang w:val="en-GB" w:eastAsia="fr-FR"/>
        </w:rPr>
      </w:pPr>
      <w:r w:rsidRPr="0049712B">
        <w:rPr>
          <w:rFonts w:asciiTheme="minorHAnsi" w:eastAsia="Times New Roman,MS Mincho" w:hAnsiTheme="minorHAnsi" w:cstheme="minorHAnsi"/>
          <w:sz w:val="22"/>
          <w:szCs w:val="22"/>
          <w:lang w:val="en-GB" w:eastAsia="fr-FR"/>
        </w:rPr>
        <w:t xml:space="preserve">Budget of the </w:t>
      </w:r>
      <w:r w:rsidR="004F4B66" w:rsidRPr="005A1529">
        <w:rPr>
          <w:rFonts w:asciiTheme="minorHAnsi" w:eastAsia="Times New Roman,MS Mincho" w:hAnsiTheme="minorHAnsi" w:cstheme="minorHAnsi"/>
          <w:sz w:val="22"/>
          <w:szCs w:val="22"/>
          <w:lang w:val="en-GB" w:eastAsia="fr-FR"/>
        </w:rPr>
        <w:t>c</w:t>
      </w:r>
      <w:r w:rsidRPr="005A1529">
        <w:rPr>
          <w:rFonts w:asciiTheme="minorHAnsi" w:eastAsia="Times New Roman,MS Mincho" w:hAnsiTheme="minorHAnsi" w:cstheme="minorHAnsi"/>
          <w:sz w:val="22"/>
          <w:szCs w:val="22"/>
          <w:lang w:val="en-GB" w:eastAsia="fr-FR"/>
        </w:rPr>
        <w:t>all</w:t>
      </w:r>
      <w:r w:rsidR="00245FA5" w:rsidRPr="005A1529">
        <w:rPr>
          <w:rFonts w:asciiTheme="minorHAnsi" w:eastAsia="Times New Roman,MS Mincho" w:hAnsiTheme="minorHAnsi" w:cstheme="minorHAnsi"/>
          <w:sz w:val="22"/>
          <w:szCs w:val="22"/>
          <w:lang w:val="en-GB" w:eastAsia="fr-FR"/>
        </w:rPr>
        <w:t xml:space="preserve"> and period of support</w:t>
      </w:r>
    </w:p>
    <w:p w14:paraId="57D160F7" w14:textId="2680CAB6" w:rsidR="004B47A0" w:rsidRPr="005E2F5C" w:rsidRDefault="004B47A0" w:rsidP="00D02D53">
      <w:pPr>
        <w:jc w:val="both"/>
        <w:rPr>
          <w:rFonts w:eastAsia="Times New Roman,MS Mincho"/>
          <w:lang w:val="en-GB" w:eastAsia="fr-FR"/>
        </w:rPr>
      </w:pPr>
      <w:r w:rsidRPr="005A1529">
        <w:rPr>
          <w:rFonts w:eastAsia="Times New Roman,MS Mincho"/>
          <w:lang w:val="en-GB" w:eastAsia="fr-FR"/>
        </w:rPr>
        <w:t>Total budget of the call is EUR 500 000. The selected organisations will re</w:t>
      </w:r>
      <w:r w:rsidR="008B54B1" w:rsidRPr="005A1529">
        <w:rPr>
          <w:rFonts w:eastAsia="Times New Roman,MS Mincho"/>
          <w:lang w:val="en-GB" w:eastAsia="fr-FR"/>
        </w:rPr>
        <w:t>ceive a grant in the maximum amount of EUR 100</w:t>
      </w:r>
      <w:r w:rsidR="00016082" w:rsidRPr="005A1529">
        <w:rPr>
          <w:rFonts w:eastAsia="Times New Roman,MS Mincho"/>
          <w:lang w:val="en-GB" w:eastAsia="fr-FR"/>
        </w:rPr>
        <w:t> </w:t>
      </w:r>
      <w:r w:rsidR="008B54B1" w:rsidRPr="005A1529">
        <w:rPr>
          <w:rFonts w:eastAsia="Times New Roman,MS Mincho"/>
          <w:lang w:val="en-GB" w:eastAsia="fr-FR"/>
        </w:rPr>
        <w:t>000</w:t>
      </w:r>
      <w:r w:rsidR="00016082" w:rsidRPr="005A1529">
        <w:rPr>
          <w:rFonts w:eastAsia="Times New Roman,MS Mincho"/>
          <w:lang w:val="en-GB" w:eastAsia="fr-FR"/>
        </w:rPr>
        <w:t xml:space="preserve"> for the duration of 24 months</w:t>
      </w:r>
      <w:r w:rsidR="005B515D" w:rsidRPr="005A1529">
        <w:rPr>
          <w:rFonts w:eastAsia="Times New Roman,MS Mincho"/>
          <w:lang w:val="en-GB" w:eastAsia="fr-FR"/>
        </w:rPr>
        <w:t>. It is foreseen that 5 organisations will be supported.</w:t>
      </w:r>
      <w:r w:rsidR="00B04CFF" w:rsidRPr="005A1529">
        <w:rPr>
          <w:rFonts w:eastAsia="Times New Roman,MS Mincho"/>
          <w:lang w:val="en-GB" w:eastAsia="fr-FR"/>
        </w:rPr>
        <w:t xml:space="preserve"> The funding period</w:t>
      </w:r>
      <w:r w:rsidR="000256B3" w:rsidRPr="005A1529">
        <w:rPr>
          <w:rFonts w:eastAsia="Times New Roman,MS Mincho"/>
          <w:lang w:val="en-GB" w:eastAsia="fr-FR"/>
        </w:rPr>
        <w:t xml:space="preserve"> shall be January 1, 2022</w:t>
      </w:r>
      <w:r w:rsidR="00AB575D" w:rsidRPr="005A1529">
        <w:rPr>
          <w:rFonts w:eastAsia="Times New Roman,MS Mincho"/>
          <w:lang w:val="en-GB" w:eastAsia="fr-FR"/>
        </w:rPr>
        <w:t>,</w:t>
      </w:r>
      <w:r w:rsidR="000256B3" w:rsidRPr="005A1529">
        <w:rPr>
          <w:rFonts w:eastAsia="Times New Roman,MS Mincho"/>
          <w:lang w:val="en-GB" w:eastAsia="fr-FR"/>
        </w:rPr>
        <w:t xml:space="preserve"> through December 31, 2023. </w:t>
      </w:r>
      <w:r w:rsidR="00AB575D" w:rsidRPr="005A1529">
        <w:rPr>
          <w:rFonts w:eastAsia="Times New Roman,MS Mincho"/>
          <w:lang w:val="en-GB" w:eastAsia="fr-FR"/>
        </w:rPr>
        <w:t>Decisions will be made approximately early March 2022, funding will be allocated retroactively from January 1, 2022.</w:t>
      </w:r>
    </w:p>
    <w:p w14:paraId="25B152C5" w14:textId="72AC59CB" w:rsidR="00DD31C2" w:rsidRPr="0049712B" w:rsidRDefault="00240DED" w:rsidP="00D02D53">
      <w:pPr>
        <w:pStyle w:val="Heading3"/>
        <w:jc w:val="both"/>
        <w:rPr>
          <w:rFonts w:asciiTheme="minorHAnsi" w:eastAsia="Times New Roman,MS Mincho" w:hAnsiTheme="minorHAnsi" w:cstheme="minorHAnsi"/>
          <w:sz w:val="22"/>
          <w:szCs w:val="22"/>
          <w:lang w:val="en-GB" w:eastAsia="fr-FR"/>
        </w:rPr>
      </w:pPr>
      <w:r w:rsidRPr="0049712B">
        <w:rPr>
          <w:rFonts w:asciiTheme="minorHAnsi" w:eastAsia="Times New Roman,MS Mincho" w:hAnsiTheme="minorHAnsi" w:cstheme="minorHAnsi"/>
          <w:sz w:val="22"/>
          <w:szCs w:val="22"/>
          <w:lang w:val="en-GB" w:eastAsia="fr-FR"/>
        </w:rPr>
        <w:t>Eligible expenditure</w:t>
      </w:r>
    </w:p>
    <w:p w14:paraId="07873BB0" w14:textId="7CE19FF9" w:rsidR="005A32EC" w:rsidRPr="005E2F5C" w:rsidRDefault="004557A3" w:rsidP="00D02D53">
      <w:pPr>
        <w:jc w:val="both"/>
        <w:rPr>
          <w:rFonts w:eastAsia="Times New Roman,MS Mincho"/>
          <w:lang w:val="en-GB" w:eastAsia="fr-FR"/>
        </w:rPr>
      </w:pPr>
      <w:r w:rsidRPr="005E2F5C">
        <w:rPr>
          <w:rFonts w:eastAsia="Times New Roman,MS Mincho"/>
          <w:lang w:val="en-GB" w:eastAsia="fr-FR"/>
        </w:rPr>
        <w:t xml:space="preserve">The Project Promoter </w:t>
      </w:r>
      <w:r w:rsidR="00310A21" w:rsidRPr="005E2F5C">
        <w:rPr>
          <w:rFonts w:eastAsia="Times New Roman,MS Mincho"/>
          <w:lang w:val="en-GB" w:eastAsia="fr-FR"/>
        </w:rPr>
        <w:t xml:space="preserve">(PP) </w:t>
      </w:r>
      <w:r w:rsidRPr="005E2F5C">
        <w:rPr>
          <w:rFonts w:eastAsia="Times New Roman,MS Mincho"/>
          <w:lang w:val="en-GB" w:eastAsia="fr-FR"/>
        </w:rPr>
        <w:t>receives the grant as a lump sum</w:t>
      </w:r>
      <w:r w:rsidR="00310A21" w:rsidRPr="005E2F5C">
        <w:rPr>
          <w:rFonts w:eastAsia="Times New Roman,MS Mincho"/>
          <w:lang w:val="en-GB" w:eastAsia="fr-FR"/>
        </w:rPr>
        <w:t xml:space="preserve">. The PP does not need to provide financial reports </w:t>
      </w:r>
      <w:r w:rsidR="00F0675D" w:rsidRPr="005E2F5C">
        <w:rPr>
          <w:rFonts w:eastAsia="Times New Roman,MS Mincho"/>
          <w:lang w:val="en-GB" w:eastAsia="fr-FR"/>
        </w:rPr>
        <w:t>on the s</w:t>
      </w:r>
      <w:r w:rsidR="005C5FA6" w:rsidRPr="005E2F5C">
        <w:rPr>
          <w:rFonts w:eastAsia="Times New Roman,MS Mincho"/>
          <w:lang w:val="en-GB" w:eastAsia="fr-FR"/>
        </w:rPr>
        <w:t>pecific expenditure made under the grant</w:t>
      </w:r>
      <w:r w:rsidR="00CF2519" w:rsidRPr="005E2F5C">
        <w:rPr>
          <w:rFonts w:eastAsia="Times New Roman,MS Mincho"/>
          <w:lang w:val="en-GB" w:eastAsia="fr-FR"/>
        </w:rPr>
        <w:t xml:space="preserve">. </w:t>
      </w:r>
      <w:r w:rsidR="00906351" w:rsidRPr="005E2F5C">
        <w:rPr>
          <w:rFonts w:eastAsia="Times New Roman,MS Mincho"/>
          <w:lang w:val="en-GB" w:eastAsia="fr-FR"/>
        </w:rPr>
        <w:t xml:space="preserve">Payments of the grant do not depend on specific </w:t>
      </w:r>
      <w:r w:rsidR="00C345B5" w:rsidRPr="005E2F5C">
        <w:rPr>
          <w:rFonts w:eastAsia="Times New Roman,MS Mincho"/>
          <w:lang w:val="en-GB" w:eastAsia="fr-FR"/>
        </w:rPr>
        <w:t>and individual expenditure incurred by the PP.</w:t>
      </w:r>
    </w:p>
    <w:p w14:paraId="049260AB" w14:textId="498383DF" w:rsidR="00B1104F" w:rsidRPr="005E2F5C" w:rsidRDefault="00C345B5" w:rsidP="00D02D53">
      <w:pPr>
        <w:jc w:val="both"/>
        <w:rPr>
          <w:rFonts w:eastAsia="Times New Roman,MS Mincho"/>
          <w:lang w:val="en-GB" w:eastAsia="fr-FR"/>
        </w:rPr>
      </w:pPr>
      <w:r w:rsidRPr="005E2F5C">
        <w:rPr>
          <w:rFonts w:eastAsia="Times New Roman,MS Mincho"/>
          <w:lang w:val="en-GB" w:eastAsia="fr-FR"/>
        </w:rPr>
        <w:t>An</w:t>
      </w:r>
      <w:r w:rsidR="00B1104F" w:rsidRPr="005E2F5C">
        <w:rPr>
          <w:rFonts w:eastAsia="Times New Roman,MS Mincho"/>
          <w:lang w:val="en-GB" w:eastAsia="fr-FR"/>
        </w:rPr>
        <w:t xml:space="preserve"> applicant will have to submit a</w:t>
      </w:r>
      <w:r w:rsidR="00AF2179">
        <w:rPr>
          <w:rFonts w:eastAsia="Times New Roman,MS Mincho"/>
          <w:lang w:val="en-GB" w:eastAsia="fr-FR"/>
        </w:rPr>
        <w:t xml:space="preserve"> two-year </w:t>
      </w:r>
      <w:r w:rsidR="00B1104F" w:rsidRPr="005E2F5C">
        <w:rPr>
          <w:rFonts w:eastAsia="Times New Roman,MS Mincho"/>
          <w:lang w:val="en-GB" w:eastAsia="fr-FR"/>
        </w:rPr>
        <w:t xml:space="preserve">institutional </w:t>
      </w:r>
      <w:r w:rsidR="006545F2" w:rsidRPr="005E2F5C">
        <w:rPr>
          <w:rFonts w:eastAsia="Times New Roman,MS Mincho"/>
          <w:lang w:val="en-GB" w:eastAsia="fr-FR"/>
        </w:rPr>
        <w:t>budget including the grant amount to allow the Fund Operator to assess the grant’s potential impact</w:t>
      </w:r>
      <w:r w:rsidR="0097750C" w:rsidRPr="005E2F5C">
        <w:rPr>
          <w:rFonts w:eastAsia="Times New Roman,MS Mincho"/>
          <w:lang w:val="en-GB" w:eastAsia="fr-FR"/>
        </w:rPr>
        <w:t xml:space="preserve">. The institutional budget including the grant should be proportionate </w:t>
      </w:r>
      <w:r w:rsidR="00223E26" w:rsidRPr="005E2F5C">
        <w:rPr>
          <w:rFonts w:eastAsia="Times New Roman,MS Mincho"/>
          <w:lang w:val="en-GB" w:eastAsia="fr-FR"/>
        </w:rPr>
        <w:t xml:space="preserve">and necessary in relation to the implementation of annual </w:t>
      </w:r>
      <w:r w:rsidR="00E950D5" w:rsidRPr="005E2F5C">
        <w:rPr>
          <w:rFonts w:eastAsia="Times New Roman,MS Mincho"/>
          <w:lang w:val="en-GB" w:eastAsia="fr-FR"/>
        </w:rPr>
        <w:t>organisational strategy and/or workplan</w:t>
      </w:r>
      <w:r w:rsidR="008862BE" w:rsidRPr="005E2F5C">
        <w:rPr>
          <w:rFonts w:eastAsia="Times New Roman,MS Mincho"/>
          <w:lang w:val="en-GB" w:eastAsia="fr-FR"/>
        </w:rPr>
        <w:t xml:space="preserve"> and capacity building activities, thus ensuring the optimal use of resources.</w:t>
      </w:r>
    </w:p>
    <w:p w14:paraId="5754114F" w14:textId="57F12B1C" w:rsidR="005A7730" w:rsidRDefault="005A7730" w:rsidP="00D02D53">
      <w:pPr>
        <w:jc w:val="both"/>
        <w:rPr>
          <w:rFonts w:eastAsia="Times New Roman,MS Mincho"/>
          <w:lang w:val="en-GB" w:eastAsia="fr-FR"/>
        </w:rPr>
      </w:pPr>
      <w:r w:rsidRPr="005E2F5C">
        <w:rPr>
          <w:rFonts w:eastAsia="Times New Roman,MS Mincho"/>
          <w:lang w:val="en-GB" w:eastAsia="fr-FR"/>
        </w:rPr>
        <w:t>PP will need to keep detailed account of expenditure</w:t>
      </w:r>
      <w:r w:rsidR="0023339D" w:rsidRPr="005E2F5C">
        <w:rPr>
          <w:rFonts w:eastAsia="Times New Roman,MS Mincho"/>
          <w:lang w:val="en-GB" w:eastAsia="fr-FR"/>
        </w:rPr>
        <w:t xml:space="preserve"> according to the accounting standar</w:t>
      </w:r>
      <w:r w:rsidR="004D3FF1" w:rsidRPr="005E2F5C">
        <w:rPr>
          <w:rFonts w:eastAsia="Times New Roman,MS Mincho"/>
          <w:lang w:val="en-GB" w:eastAsia="fr-FR"/>
        </w:rPr>
        <w:t>d</w:t>
      </w:r>
      <w:r w:rsidR="0023339D" w:rsidRPr="005E2F5C">
        <w:rPr>
          <w:rFonts w:eastAsia="Times New Roman,MS Mincho"/>
          <w:lang w:val="en-GB" w:eastAsia="fr-FR"/>
        </w:rPr>
        <w:t>s and generally accepted accounting principles</w:t>
      </w:r>
      <w:r w:rsidR="004D3FF1" w:rsidRPr="005E2F5C">
        <w:rPr>
          <w:rFonts w:eastAsia="Times New Roman,MS Mincho"/>
          <w:lang w:val="en-GB" w:eastAsia="fr-FR"/>
        </w:rPr>
        <w:t>. P</w:t>
      </w:r>
      <w:r w:rsidR="00E454F1" w:rsidRPr="005E2F5C">
        <w:rPr>
          <w:rFonts w:eastAsia="Times New Roman,MS Mincho"/>
          <w:lang w:val="en-GB" w:eastAsia="fr-FR"/>
        </w:rPr>
        <w:t xml:space="preserve">roject </w:t>
      </w:r>
      <w:r w:rsidR="004D3FF1" w:rsidRPr="005E2F5C">
        <w:rPr>
          <w:rFonts w:eastAsia="Times New Roman,MS Mincho"/>
          <w:lang w:val="en-GB" w:eastAsia="fr-FR"/>
        </w:rPr>
        <w:t>P</w:t>
      </w:r>
      <w:r w:rsidR="00E454F1" w:rsidRPr="005E2F5C">
        <w:rPr>
          <w:rFonts w:eastAsia="Times New Roman,MS Mincho"/>
          <w:lang w:val="en-GB" w:eastAsia="fr-FR"/>
        </w:rPr>
        <w:t>romoter</w:t>
      </w:r>
      <w:r w:rsidR="004D3FF1" w:rsidRPr="005E2F5C">
        <w:rPr>
          <w:rFonts w:eastAsia="Times New Roman,MS Mincho"/>
          <w:lang w:val="en-GB" w:eastAsia="fr-FR"/>
        </w:rPr>
        <w:t xml:space="preserve"> shall </w:t>
      </w:r>
      <w:r w:rsidR="009D114D" w:rsidRPr="005E2F5C">
        <w:rPr>
          <w:rFonts w:eastAsia="Times New Roman,MS Mincho"/>
          <w:lang w:val="en-GB" w:eastAsia="fr-FR"/>
        </w:rPr>
        <w:t xml:space="preserve">provide an assurance report by an external auditor at the end of the </w:t>
      </w:r>
      <w:r w:rsidR="007547AD" w:rsidRPr="005E2F5C">
        <w:rPr>
          <w:rFonts w:eastAsia="Times New Roman,MS Mincho"/>
          <w:lang w:val="en-GB" w:eastAsia="fr-FR"/>
        </w:rPr>
        <w:t>funding</w:t>
      </w:r>
      <w:r w:rsidR="009D114D" w:rsidRPr="005E2F5C">
        <w:rPr>
          <w:rFonts w:eastAsia="Times New Roman,MS Mincho"/>
          <w:lang w:val="en-GB" w:eastAsia="fr-FR"/>
        </w:rPr>
        <w:t xml:space="preserve"> period. </w:t>
      </w:r>
      <w:r w:rsidR="008D0B7F" w:rsidRPr="005E2F5C">
        <w:rPr>
          <w:rFonts w:eastAsia="Times New Roman,MS Mincho"/>
          <w:lang w:val="en-GB" w:eastAsia="fr-FR"/>
        </w:rPr>
        <w:t xml:space="preserve">This report shall provide an assurance </w:t>
      </w:r>
      <w:r w:rsidR="0040404F" w:rsidRPr="005E2F5C">
        <w:rPr>
          <w:rFonts w:eastAsia="Times New Roman,MS Mincho"/>
          <w:lang w:val="en-GB" w:eastAsia="fr-FR"/>
        </w:rPr>
        <w:t xml:space="preserve">that the Project Promoter has used the grant in accordance </w:t>
      </w:r>
      <w:r w:rsidR="001471B4" w:rsidRPr="005E2F5C">
        <w:rPr>
          <w:rFonts w:eastAsia="Times New Roman,MS Mincho"/>
          <w:lang w:val="en-GB" w:eastAsia="fr-FR"/>
        </w:rPr>
        <w:t xml:space="preserve">with the purpose and provisions of the grant agreement. </w:t>
      </w:r>
      <w:r w:rsidR="009579EE" w:rsidRPr="005E2F5C">
        <w:rPr>
          <w:rFonts w:eastAsia="Times New Roman,MS Mincho"/>
          <w:lang w:val="en-GB" w:eastAsia="fr-FR"/>
        </w:rPr>
        <w:t xml:space="preserve">If the PP commissions annual </w:t>
      </w:r>
      <w:r w:rsidR="0048026C" w:rsidRPr="005E2F5C">
        <w:rPr>
          <w:rFonts w:eastAsia="Times New Roman,MS Mincho"/>
          <w:lang w:val="en-GB" w:eastAsia="fr-FR"/>
        </w:rPr>
        <w:t xml:space="preserve">audit reports for other purposes the report of the latest year of </w:t>
      </w:r>
      <w:r w:rsidR="005666F3" w:rsidRPr="005E2F5C">
        <w:rPr>
          <w:rFonts w:eastAsia="Times New Roman,MS Mincho"/>
          <w:lang w:val="en-GB" w:eastAsia="fr-FR"/>
        </w:rPr>
        <w:t xml:space="preserve">the grant implementation may be provided instead, </w:t>
      </w:r>
      <w:proofErr w:type="gramStart"/>
      <w:r w:rsidR="005666F3" w:rsidRPr="005E2F5C">
        <w:rPr>
          <w:rFonts w:eastAsia="Times New Roman,MS Mincho"/>
          <w:lang w:val="en-GB" w:eastAsia="fr-FR"/>
        </w:rPr>
        <w:t>provided that</w:t>
      </w:r>
      <w:proofErr w:type="gramEnd"/>
      <w:r w:rsidR="005666F3" w:rsidRPr="005E2F5C">
        <w:rPr>
          <w:rFonts w:eastAsia="Times New Roman,MS Mincho"/>
          <w:lang w:val="en-GB" w:eastAsia="fr-FR"/>
        </w:rPr>
        <w:t xml:space="preserve"> it covers and specifically mentions the Norway Grants contribution.</w:t>
      </w:r>
    </w:p>
    <w:p w14:paraId="4ABCE622" w14:textId="160A36F3" w:rsidR="00794272" w:rsidRPr="0049712B" w:rsidRDefault="00655A58" w:rsidP="00D02D53">
      <w:pPr>
        <w:pStyle w:val="Heading3"/>
        <w:jc w:val="both"/>
        <w:rPr>
          <w:rFonts w:asciiTheme="minorHAnsi" w:hAnsiTheme="minorHAnsi" w:cstheme="minorHAnsi"/>
          <w:sz w:val="22"/>
          <w:szCs w:val="22"/>
          <w:lang w:val="en-GB"/>
        </w:rPr>
      </w:pPr>
      <w:r w:rsidRPr="0049712B">
        <w:rPr>
          <w:rFonts w:asciiTheme="minorHAnsi" w:hAnsiTheme="minorHAnsi" w:cstheme="minorHAnsi"/>
          <w:sz w:val="22"/>
          <w:szCs w:val="22"/>
          <w:lang w:val="en-GB"/>
        </w:rPr>
        <w:t>Reporting</w:t>
      </w:r>
      <w:r w:rsidR="007D66E7" w:rsidRPr="0049712B">
        <w:rPr>
          <w:rFonts w:asciiTheme="minorHAnsi" w:hAnsiTheme="minorHAnsi" w:cstheme="minorHAnsi"/>
          <w:sz w:val="22"/>
          <w:szCs w:val="22"/>
          <w:lang w:val="en-GB"/>
        </w:rPr>
        <w:t xml:space="preserve"> </w:t>
      </w:r>
      <w:r w:rsidR="00CB187C" w:rsidRPr="0049712B">
        <w:rPr>
          <w:rFonts w:asciiTheme="minorHAnsi" w:hAnsiTheme="minorHAnsi" w:cstheme="minorHAnsi"/>
          <w:sz w:val="22"/>
          <w:szCs w:val="22"/>
          <w:lang w:val="en-GB"/>
        </w:rPr>
        <w:t xml:space="preserve">and payments </w:t>
      </w:r>
    </w:p>
    <w:p w14:paraId="22855BF7" w14:textId="31662167" w:rsidR="00F329B7" w:rsidRPr="005E2F5C" w:rsidRDefault="00F329B7" w:rsidP="00D02D53">
      <w:pPr>
        <w:jc w:val="both"/>
        <w:rPr>
          <w:rFonts w:eastAsia="Times New Roman,MS Mincho"/>
          <w:lang w:val="en-GB" w:eastAsia="fr-FR"/>
        </w:rPr>
      </w:pPr>
      <w:r w:rsidRPr="005E2F5C">
        <w:rPr>
          <w:rFonts w:eastAsia="Times New Roman,MS Mincho"/>
          <w:lang w:val="en-GB" w:eastAsia="fr-FR"/>
        </w:rPr>
        <w:t>When reporting on results, the PP will need to be able to demonstrate that its activities have contributed to ACF’s Outcomes 1 or/and 2 and the indicators they achieved.</w:t>
      </w:r>
      <w:r w:rsidR="0086470F" w:rsidRPr="005E2F5C">
        <w:rPr>
          <w:rFonts w:eastAsia="Times New Roman,MS Mincho"/>
          <w:lang w:val="en-GB" w:eastAsia="fr-FR"/>
        </w:rPr>
        <w:t xml:space="preserve"> They will be required to report on the indicators that correspond </w:t>
      </w:r>
      <w:r w:rsidR="004C5F8F" w:rsidRPr="005E2F5C">
        <w:rPr>
          <w:rFonts w:eastAsia="Times New Roman,MS Mincho"/>
          <w:lang w:val="en-GB" w:eastAsia="fr-FR"/>
        </w:rPr>
        <w:t>to the focus of their work plan</w:t>
      </w:r>
      <w:r w:rsidR="00F502BB" w:rsidRPr="005E2F5C">
        <w:rPr>
          <w:rFonts w:eastAsia="Times New Roman,MS Mincho"/>
          <w:lang w:val="en-GB" w:eastAsia="fr-FR"/>
        </w:rPr>
        <w:t>/strategy at outcome level, but not at output level.</w:t>
      </w:r>
    </w:p>
    <w:p w14:paraId="4B499D06" w14:textId="7800C502" w:rsidR="00F502BB" w:rsidRPr="005E2F5C" w:rsidRDefault="00F502BB" w:rsidP="00D02D53">
      <w:pPr>
        <w:jc w:val="both"/>
        <w:rPr>
          <w:rFonts w:eastAsia="Times New Roman,MS Mincho"/>
          <w:lang w:val="en-GB" w:eastAsia="fr-FR"/>
        </w:rPr>
      </w:pPr>
      <w:r w:rsidRPr="005E2F5C">
        <w:rPr>
          <w:rFonts w:eastAsia="Times New Roman,MS Mincho"/>
          <w:lang w:val="en-GB" w:eastAsia="fr-FR"/>
        </w:rPr>
        <w:t>Progress will be assessed against the multi-year organi</w:t>
      </w:r>
      <w:r w:rsidR="005A4E9E" w:rsidRPr="005E2F5C">
        <w:rPr>
          <w:rFonts w:eastAsia="Times New Roman,MS Mincho"/>
          <w:lang w:val="en-GB" w:eastAsia="fr-FR"/>
        </w:rPr>
        <w:t>s</w:t>
      </w:r>
      <w:r w:rsidRPr="005E2F5C">
        <w:rPr>
          <w:rFonts w:eastAsia="Times New Roman,MS Mincho"/>
          <w:lang w:val="en-GB" w:eastAsia="fr-FR"/>
        </w:rPr>
        <w:t>ational strategy/work plan</w:t>
      </w:r>
      <w:r w:rsidR="00E85470" w:rsidRPr="005E2F5C">
        <w:rPr>
          <w:rFonts w:eastAsia="Times New Roman,MS Mincho"/>
          <w:lang w:val="en-GB" w:eastAsia="fr-FR"/>
        </w:rPr>
        <w:t xml:space="preserve"> and its budget at the end of each implementation year</w:t>
      </w:r>
      <w:r w:rsidR="00826F84">
        <w:rPr>
          <w:rFonts w:eastAsia="Times New Roman,MS Mincho"/>
          <w:lang w:val="en-GB" w:eastAsia="fr-FR"/>
        </w:rPr>
        <w:t xml:space="preserve">. </w:t>
      </w:r>
      <w:r w:rsidR="00274ACB">
        <w:rPr>
          <w:rFonts w:eastAsia="Times New Roman,MS Mincho"/>
          <w:lang w:val="en-GB" w:eastAsia="fr-FR"/>
        </w:rPr>
        <w:t xml:space="preserve">However, the Fund Operator can request </w:t>
      </w:r>
      <w:r w:rsidR="00275484">
        <w:rPr>
          <w:rFonts w:eastAsia="Times New Roman,MS Mincho"/>
          <w:lang w:val="en-GB" w:eastAsia="fr-FR"/>
        </w:rPr>
        <w:t xml:space="preserve">for additional information on implementation progress at any time. The FO and </w:t>
      </w:r>
      <w:hyperlink r:id="rId12" w:history="1">
        <w:r w:rsidR="00275484" w:rsidRPr="00EC655B">
          <w:rPr>
            <w:rStyle w:val="Hyperlink"/>
            <w:rFonts w:eastAsia="Times New Roman,MS Mincho"/>
            <w:lang w:val="en-GB" w:eastAsia="fr-FR"/>
          </w:rPr>
          <w:t>Financial Mechanism Office</w:t>
        </w:r>
      </w:hyperlink>
      <w:r w:rsidR="00275484">
        <w:rPr>
          <w:rFonts w:eastAsia="Times New Roman,MS Mincho"/>
          <w:lang w:val="en-GB" w:eastAsia="fr-FR"/>
        </w:rPr>
        <w:t xml:space="preserve"> have the right to commission audits of the entire organisational accounts.</w:t>
      </w:r>
    </w:p>
    <w:p w14:paraId="644ABEC4" w14:textId="3394A88B" w:rsidR="00F329B7" w:rsidRDefault="00786559" w:rsidP="00D02D53">
      <w:pPr>
        <w:jc w:val="both"/>
        <w:rPr>
          <w:rFonts w:eastAsia="Times New Roman,MS Mincho"/>
          <w:lang w:val="en-GB" w:eastAsia="fr-FR"/>
        </w:rPr>
      </w:pPr>
      <w:r w:rsidRPr="00170900">
        <w:rPr>
          <w:rFonts w:eastAsia="Times New Roman,MS Mincho"/>
          <w:lang w:val="en-GB" w:eastAsia="fr-FR"/>
        </w:rPr>
        <w:t>The PP does not need to provide financial reports on the specific expenditure made under the grant. Payments of the grant do not depend on specific and individual expenditure incurred by the PP.</w:t>
      </w:r>
      <w:r w:rsidR="005501E1" w:rsidRPr="00170900">
        <w:rPr>
          <w:rFonts w:eastAsia="Times New Roman,MS Mincho"/>
          <w:lang w:val="en-GB" w:eastAsia="fr-FR"/>
        </w:rPr>
        <w:t xml:space="preserve"> The costs are considered as incurred within the grant </w:t>
      </w:r>
      <w:r w:rsidR="00C022A0" w:rsidRPr="00170900">
        <w:rPr>
          <w:rFonts w:eastAsia="Times New Roman,MS Mincho"/>
          <w:lang w:val="en-GB" w:eastAsia="fr-FR"/>
        </w:rPr>
        <w:t>once paid to the PP.</w:t>
      </w:r>
    </w:p>
    <w:p w14:paraId="0D695090" w14:textId="5AA8EFD0" w:rsidR="00E24225" w:rsidRDefault="00E24225" w:rsidP="00F1740F">
      <w:pPr>
        <w:spacing w:after="0"/>
        <w:jc w:val="both"/>
        <w:rPr>
          <w:rFonts w:eastAsia="Times New Roman,MS Mincho"/>
          <w:lang w:val="en-GB" w:eastAsia="fr-FR"/>
        </w:rPr>
      </w:pPr>
      <w:r>
        <w:rPr>
          <w:rFonts w:eastAsia="Times New Roman,MS Mincho"/>
          <w:lang w:val="en-GB" w:eastAsia="fr-FR"/>
        </w:rPr>
        <w:t xml:space="preserve">In case </w:t>
      </w:r>
      <w:r w:rsidR="00BD4B70">
        <w:rPr>
          <w:rFonts w:eastAsia="Times New Roman,MS Mincho"/>
          <w:lang w:val="en-GB" w:eastAsia="fr-FR"/>
        </w:rPr>
        <w:t xml:space="preserve">the information provided by the PP proves evident non-satisfactory performance, or the strategy/work plan </w:t>
      </w:r>
      <w:r w:rsidR="00556CB1">
        <w:rPr>
          <w:rFonts w:eastAsia="Times New Roman,MS Mincho"/>
          <w:lang w:val="en-GB" w:eastAsia="fr-FR"/>
        </w:rPr>
        <w:t xml:space="preserve">is not implemented in line with the principles </w:t>
      </w:r>
      <w:r w:rsidR="00E010C4">
        <w:rPr>
          <w:rFonts w:eastAsia="Times New Roman,MS Mincho"/>
          <w:lang w:val="en-GB" w:eastAsia="fr-FR"/>
        </w:rPr>
        <w:t xml:space="preserve">set in Article </w:t>
      </w:r>
      <w:r w:rsidR="00353E48">
        <w:rPr>
          <w:rFonts w:eastAsia="Times New Roman,MS Mincho"/>
          <w:lang w:val="en-GB" w:eastAsia="fr-FR"/>
        </w:rPr>
        <w:t xml:space="preserve">1.4 of the Programme </w:t>
      </w:r>
      <w:r w:rsidR="00353E48">
        <w:rPr>
          <w:rFonts w:eastAsia="Times New Roman,MS Mincho"/>
          <w:lang w:val="en-GB" w:eastAsia="fr-FR"/>
        </w:rPr>
        <w:lastRenderedPageBreak/>
        <w:t>Implementation Agreement</w:t>
      </w:r>
      <w:r w:rsidR="00353E48">
        <w:rPr>
          <w:rStyle w:val="FootnoteReference"/>
          <w:rFonts w:eastAsia="Times New Roman,MS Mincho"/>
          <w:lang w:val="en-GB" w:eastAsia="fr-FR"/>
        </w:rPr>
        <w:footnoteReference w:id="2"/>
      </w:r>
      <w:r w:rsidR="00652CB0">
        <w:rPr>
          <w:rFonts w:eastAsia="Times New Roman,MS Mincho"/>
          <w:lang w:val="en-GB" w:eastAsia="fr-FR"/>
        </w:rPr>
        <w:t xml:space="preserve">, the grant paid to the </w:t>
      </w:r>
      <w:r w:rsidR="00E4019C">
        <w:rPr>
          <w:rFonts w:eastAsia="Times New Roman,MS Mincho"/>
          <w:lang w:val="en-GB" w:eastAsia="fr-FR"/>
        </w:rPr>
        <w:t xml:space="preserve">PP may be cancelled or reduced proportionately. Relevant provisions in this respect shall be included in </w:t>
      </w:r>
      <w:r w:rsidR="003D08C2">
        <w:rPr>
          <w:rFonts w:eastAsia="Times New Roman,MS Mincho"/>
          <w:lang w:val="en-GB" w:eastAsia="fr-FR"/>
        </w:rPr>
        <w:t>the project contract.</w:t>
      </w:r>
    </w:p>
    <w:p w14:paraId="17FDFD79" w14:textId="77777777" w:rsidR="0049712B" w:rsidRDefault="0049712B" w:rsidP="00D02D53">
      <w:pPr>
        <w:jc w:val="both"/>
        <w:rPr>
          <w:rFonts w:eastAsia="Times New Roman,MS Mincho"/>
          <w:lang w:val="en-GB" w:eastAsia="fr-FR"/>
        </w:rPr>
      </w:pPr>
    </w:p>
    <w:p w14:paraId="44745B03" w14:textId="63194F65" w:rsidR="003D08C2" w:rsidRPr="005E2F5C" w:rsidRDefault="003D08C2" w:rsidP="00F1740F">
      <w:pPr>
        <w:spacing w:after="0"/>
        <w:jc w:val="both"/>
        <w:rPr>
          <w:rFonts w:eastAsia="Times New Roman,MS Mincho"/>
          <w:lang w:val="en-GB" w:eastAsia="fr-FR"/>
        </w:rPr>
      </w:pPr>
      <w:r w:rsidRPr="005E2F5C">
        <w:rPr>
          <w:rFonts w:eastAsia="Times New Roman,MS Mincho"/>
          <w:lang w:val="en-GB" w:eastAsia="fr-FR"/>
        </w:rPr>
        <w:t>Funding will be paid out in 3 instalments: the 1</w:t>
      </w:r>
      <w:r w:rsidRPr="005E2F5C">
        <w:rPr>
          <w:rFonts w:eastAsia="Times New Roman,MS Mincho"/>
          <w:vertAlign w:val="superscript"/>
          <w:lang w:val="en-GB" w:eastAsia="fr-FR"/>
        </w:rPr>
        <w:t>st</w:t>
      </w:r>
      <w:r w:rsidRPr="005E2F5C">
        <w:rPr>
          <w:rFonts w:eastAsia="Times New Roman,MS Mincho"/>
          <w:lang w:val="en-GB" w:eastAsia="fr-FR"/>
        </w:rPr>
        <w:t xml:space="preserve"> advance payment of 50% of the grant within 10 working days after signing the contract; interim payment of 40% of the grant after the approval of 1</w:t>
      </w:r>
      <w:r w:rsidRPr="005E2F5C">
        <w:rPr>
          <w:rFonts w:eastAsia="Times New Roman,MS Mincho"/>
          <w:vertAlign w:val="superscript"/>
          <w:lang w:val="en-GB" w:eastAsia="fr-FR"/>
        </w:rPr>
        <w:t>st</w:t>
      </w:r>
      <w:r w:rsidRPr="005E2F5C">
        <w:rPr>
          <w:rFonts w:eastAsia="Times New Roman,MS Mincho"/>
          <w:lang w:val="en-GB" w:eastAsia="fr-FR"/>
        </w:rPr>
        <w:t xml:space="preserve"> annual report, and final payment of 10% of the grant after the approval of the final report.</w:t>
      </w:r>
    </w:p>
    <w:p w14:paraId="3C8F8657" w14:textId="77777777" w:rsidR="003D08C2" w:rsidRPr="00C022A0" w:rsidRDefault="003D08C2" w:rsidP="00D02D53">
      <w:pPr>
        <w:jc w:val="both"/>
        <w:rPr>
          <w:rFonts w:eastAsia="Times New Roman,MS Mincho"/>
          <w:lang w:val="en-GB" w:eastAsia="fr-FR"/>
        </w:rPr>
      </w:pPr>
    </w:p>
    <w:p w14:paraId="1F86DEA0" w14:textId="6D189CF8" w:rsidR="00655A58" w:rsidRPr="005E2F5C" w:rsidRDefault="002A37E8" w:rsidP="00D02D53">
      <w:pPr>
        <w:jc w:val="both"/>
        <w:rPr>
          <w:lang w:val="en-GB"/>
        </w:rPr>
      </w:pPr>
      <w:r w:rsidRPr="005E2F5C">
        <w:rPr>
          <w:lang w:val="en-GB"/>
        </w:rPr>
        <w:t>The Project Promoters shall report to the Fun</w:t>
      </w:r>
      <w:r w:rsidR="000A7291" w:rsidRPr="005E2F5C">
        <w:rPr>
          <w:lang w:val="en-GB"/>
        </w:rPr>
        <w:t>d</w:t>
      </w:r>
      <w:r w:rsidRPr="005E2F5C">
        <w:rPr>
          <w:lang w:val="en-GB"/>
        </w:rPr>
        <w:t xml:space="preserve"> Operator o</w:t>
      </w:r>
      <w:r w:rsidR="000A7291" w:rsidRPr="005E2F5C">
        <w:rPr>
          <w:lang w:val="en-GB"/>
        </w:rPr>
        <w:t>n</w:t>
      </w:r>
      <w:r w:rsidRPr="005E2F5C">
        <w:rPr>
          <w:lang w:val="en-GB"/>
        </w:rPr>
        <w:t xml:space="preserve"> the use of the grant as follows:</w:t>
      </w:r>
    </w:p>
    <w:p w14:paraId="4C76C4E4" w14:textId="0CA25070" w:rsidR="002A37E8" w:rsidRPr="005E2F5C" w:rsidRDefault="007D66E7" w:rsidP="00D02D53">
      <w:pPr>
        <w:pStyle w:val="ListParagraph"/>
        <w:numPr>
          <w:ilvl w:val="0"/>
          <w:numId w:val="24"/>
        </w:numPr>
        <w:jc w:val="both"/>
        <w:rPr>
          <w:lang w:val="en-GB"/>
        </w:rPr>
      </w:pPr>
      <w:r w:rsidRPr="005E2F5C">
        <w:rPr>
          <w:lang w:val="en-GB"/>
        </w:rPr>
        <w:t xml:space="preserve">Semi-annual </w:t>
      </w:r>
      <w:r w:rsidR="002801E1" w:rsidRPr="005E2F5C">
        <w:rPr>
          <w:lang w:val="en-GB"/>
        </w:rPr>
        <w:t xml:space="preserve">narrative </w:t>
      </w:r>
      <w:r w:rsidRPr="005E2F5C">
        <w:rPr>
          <w:lang w:val="en-GB"/>
        </w:rPr>
        <w:t xml:space="preserve">report </w:t>
      </w:r>
      <w:r w:rsidR="002801E1" w:rsidRPr="005E2F5C">
        <w:rPr>
          <w:lang w:val="en-GB"/>
        </w:rPr>
        <w:t>on the progress in the first 6 months</w:t>
      </w:r>
      <w:r w:rsidR="00C022A0">
        <w:rPr>
          <w:lang w:val="en-GB"/>
        </w:rPr>
        <w:t xml:space="preserve"> </w:t>
      </w:r>
      <w:r w:rsidR="006E5BCE">
        <w:rPr>
          <w:lang w:val="en-GB"/>
        </w:rPr>
        <w:t xml:space="preserve">by July 31, </w:t>
      </w:r>
      <w:proofErr w:type="gramStart"/>
      <w:r w:rsidR="006E5BCE">
        <w:rPr>
          <w:lang w:val="en-GB"/>
        </w:rPr>
        <w:t>2022</w:t>
      </w:r>
      <w:r w:rsidR="0049146A" w:rsidRPr="005E2F5C">
        <w:rPr>
          <w:lang w:val="en-GB"/>
        </w:rPr>
        <w:t>;</w:t>
      </w:r>
      <w:proofErr w:type="gramEnd"/>
    </w:p>
    <w:p w14:paraId="6FBED4D7" w14:textId="7594A9A3" w:rsidR="0049146A" w:rsidRDefault="0049146A" w:rsidP="00D02D53">
      <w:pPr>
        <w:pStyle w:val="ListParagraph"/>
        <w:numPr>
          <w:ilvl w:val="0"/>
          <w:numId w:val="24"/>
        </w:numPr>
        <w:jc w:val="both"/>
        <w:rPr>
          <w:lang w:val="en-GB"/>
        </w:rPr>
      </w:pPr>
      <w:r w:rsidRPr="005E2F5C">
        <w:rPr>
          <w:lang w:val="en-GB"/>
        </w:rPr>
        <w:t>Annual report</w:t>
      </w:r>
      <w:r w:rsidR="00C10A2D" w:rsidRPr="005E2F5C">
        <w:rPr>
          <w:lang w:val="en-GB"/>
        </w:rPr>
        <w:t xml:space="preserve"> </w:t>
      </w:r>
      <w:r w:rsidR="00E733CA">
        <w:rPr>
          <w:lang w:val="en-GB"/>
        </w:rPr>
        <w:t xml:space="preserve">on the progress in the first 12 months </w:t>
      </w:r>
      <w:r w:rsidR="00B13E28">
        <w:rPr>
          <w:lang w:val="en-GB"/>
        </w:rPr>
        <w:t xml:space="preserve">by </w:t>
      </w:r>
      <w:r w:rsidR="00300CCA">
        <w:rPr>
          <w:lang w:val="en-GB"/>
        </w:rPr>
        <w:t>February 28, 2023</w:t>
      </w:r>
      <w:r w:rsidR="00E733CA">
        <w:rPr>
          <w:lang w:val="en-GB"/>
        </w:rPr>
        <w:t>. Annual report consists of the following:</w:t>
      </w:r>
    </w:p>
    <w:p w14:paraId="501ED69C" w14:textId="0CA81649" w:rsidR="00E733CA" w:rsidRPr="00C94D9C" w:rsidRDefault="009F03E7" w:rsidP="00D02D53">
      <w:pPr>
        <w:pStyle w:val="ListParagraph"/>
        <w:numPr>
          <w:ilvl w:val="1"/>
          <w:numId w:val="24"/>
        </w:numPr>
        <w:jc w:val="both"/>
        <w:rPr>
          <w:lang w:val="en-GB"/>
        </w:rPr>
      </w:pPr>
      <w:r>
        <w:rPr>
          <w:lang w:val="en-GB"/>
        </w:rPr>
        <w:t xml:space="preserve">An assessment of PP’s </w:t>
      </w:r>
      <w:r w:rsidR="00733B54">
        <w:rPr>
          <w:lang w:val="en-GB"/>
        </w:rPr>
        <w:t xml:space="preserve">performance in the previous calendar year on the results achieved </w:t>
      </w:r>
      <w:r w:rsidR="007A26C1">
        <w:rPr>
          <w:lang w:val="en-GB"/>
        </w:rPr>
        <w:t>in relation to the project application (</w:t>
      </w:r>
      <w:proofErr w:type="gramStart"/>
      <w:r w:rsidR="007A26C1">
        <w:rPr>
          <w:lang w:val="en-GB"/>
        </w:rPr>
        <w:t>i.e.</w:t>
      </w:r>
      <w:proofErr w:type="gramEnd"/>
      <w:r w:rsidR="007A26C1">
        <w:rPr>
          <w:lang w:val="en-GB"/>
        </w:rPr>
        <w:t xml:space="preserve"> </w:t>
      </w:r>
      <w:r w:rsidR="007A26C1" w:rsidRPr="00C94D9C">
        <w:rPr>
          <w:lang w:val="en-GB"/>
        </w:rPr>
        <w:t>consistency with ACF’s Outcomes and capacity building plan submitted along with the application);</w:t>
      </w:r>
    </w:p>
    <w:p w14:paraId="676922D9" w14:textId="08F545A5" w:rsidR="007A26C1" w:rsidRPr="00C94D9C" w:rsidRDefault="00E941B7" w:rsidP="00D02D53">
      <w:pPr>
        <w:pStyle w:val="ListParagraph"/>
        <w:numPr>
          <w:ilvl w:val="1"/>
          <w:numId w:val="24"/>
        </w:numPr>
        <w:jc w:val="both"/>
        <w:rPr>
          <w:lang w:val="en-GB"/>
        </w:rPr>
      </w:pPr>
      <w:r w:rsidRPr="00C94D9C">
        <w:rPr>
          <w:lang w:val="en-GB"/>
        </w:rPr>
        <w:t xml:space="preserve">Up-to-date multi-annual </w:t>
      </w:r>
      <w:r w:rsidR="00335FD5" w:rsidRPr="00C94D9C">
        <w:rPr>
          <w:lang w:val="en-GB"/>
        </w:rPr>
        <w:t>organisational strategy/workplan, indicating:</w:t>
      </w:r>
    </w:p>
    <w:p w14:paraId="2013C1C4" w14:textId="204E608C" w:rsidR="00335FD5" w:rsidRPr="00C94D9C" w:rsidRDefault="008537D7" w:rsidP="00D02D53">
      <w:pPr>
        <w:pStyle w:val="ListParagraph"/>
        <w:numPr>
          <w:ilvl w:val="2"/>
          <w:numId w:val="24"/>
        </w:numPr>
        <w:jc w:val="both"/>
        <w:rPr>
          <w:lang w:val="en-GB"/>
        </w:rPr>
      </w:pPr>
      <w:r w:rsidRPr="00C94D9C">
        <w:rPr>
          <w:lang w:val="en-GB"/>
        </w:rPr>
        <w:t xml:space="preserve">which tasks, objectives and results contained therein have been implemented/achieved </w:t>
      </w:r>
      <w:r w:rsidR="003602DD" w:rsidRPr="00C94D9C">
        <w:rPr>
          <w:lang w:val="en-GB"/>
        </w:rPr>
        <w:t xml:space="preserve">by the use of ACF funding allocated </w:t>
      </w:r>
      <w:r w:rsidR="000007A9" w:rsidRPr="00C94D9C">
        <w:rPr>
          <w:lang w:val="en-GB"/>
        </w:rPr>
        <w:t>in the p</w:t>
      </w:r>
      <w:r w:rsidR="00A5736E" w:rsidRPr="00C94D9C">
        <w:rPr>
          <w:lang w:val="en-GB"/>
        </w:rPr>
        <w:t>re</w:t>
      </w:r>
      <w:r w:rsidR="000007A9" w:rsidRPr="00C94D9C">
        <w:rPr>
          <w:lang w:val="en-GB"/>
        </w:rPr>
        <w:t xml:space="preserve">vious calendar </w:t>
      </w:r>
      <w:proofErr w:type="gramStart"/>
      <w:r w:rsidR="000007A9" w:rsidRPr="00C94D9C">
        <w:rPr>
          <w:lang w:val="en-GB"/>
        </w:rPr>
        <w:t>year;</w:t>
      </w:r>
      <w:proofErr w:type="gramEnd"/>
    </w:p>
    <w:p w14:paraId="35106F26" w14:textId="3BA21609" w:rsidR="000007A9" w:rsidRPr="00C94D9C" w:rsidRDefault="000007A9" w:rsidP="00D02D53">
      <w:pPr>
        <w:pStyle w:val="ListParagraph"/>
        <w:numPr>
          <w:ilvl w:val="2"/>
          <w:numId w:val="24"/>
        </w:numPr>
        <w:jc w:val="both"/>
        <w:rPr>
          <w:lang w:val="en-GB"/>
        </w:rPr>
      </w:pPr>
      <w:r w:rsidRPr="00C94D9C">
        <w:rPr>
          <w:lang w:val="en-GB"/>
        </w:rPr>
        <w:t>for which tasks</w:t>
      </w:r>
      <w:r w:rsidR="00F775E6" w:rsidRPr="00C94D9C">
        <w:rPr>
          <w:lang w:val="en-GB"/>
        </w:rPr>
        <w:t>, objectives</w:t>
      </w:r>
      <w:r w:rsidR="00083DD8">
        <w:rPr>
          <w:lang w:val="en-GB"/>
        </w:rPr>
        <w:t>,</w:t>
      </w:r>
      <w:r w:rsidR="00F775E6" w:rsidRPr="00C94D9C">
        <w:rPr>
          <w:lang w:val="en-GB"/>
        </w:rPr>
        <w:t xml:space="preserve"> and results ACF funding is intended </w:t>
      </w:r>
      <w:r w:rsidR="00A5736E" w:rsidRPr="00C94D9C">
        <w:rPr>
          <w:lang w:val="en-GB"/>
        </w:rPr>
        <w:t>to be used in the current year</w:t>
      </w:r>
      <w:r w:rsidR="0070421F" w:rsidRPr="00C94D9C">
        <w:rPr>
          <w:lang w:val="en-GB"/>
        </w:rPr>
        <w:t>.</w:t>
      </w:r>
    </w:p>
    <w:p w14:paraId="61157980" w14:textId="466172B7" w:rsidR="0070421F" w:rsidRPr="00C94D9C" w:rsidRDefault="009D7345" w:rsidP="00D02D53">
      <w:pPr>
        <w:pStyle w:val="ListParagraph"/>
        <w:numPr>
          <w:ilvl w:val="0"/>
          <w:numId w:val="39"/>
        </w:numPr>
        <w:jc w:val="both"/>
        <w:rPr>
          <w:lang w:val="en-GB"/>
        </w:rPr>
      </w:pPr>
      <w:r w:rsidRPr="00C94D9C">
        <w:rPr>
          <w:lang w:val="en-GB"/>
        </w:rPr>
        <w:t xml:space="preserve">Previous year balance sheet and </w:t>
      </w:r>
      <w:r w:rsidR="00B10B0A" w:rsidRPr="00C94D9C">
        <w:rPr>
          <w:lang w:val="en-GB"/>
        </w:rPr>
        <w:t>statement of revenues and expe</w:t>
      </w:r>
      <w:r w:rsidR="00133608" w:rsidRPr="00C94D9C">
        <w:rPr>
          <w:lang w:val="en-GB"/>
        </w:rPr>
        <w:t>n</w:t>
      </w:r>
      <w:r w:rsidR="00B10B0A" w:rsidRPr="00C94D9C">
        <w:rPr>
          <w:lang w:val="en-GB"/>
        </w:rPr>
        <w:t>ses</w:t>
      </w:r>
      <w:r w:rsidR="008801DD" w:rsidRPr="00C94D9C">
        <w:rPr>
          <w:lang w:val="en-GB"/>
        </w:rPr>
        <w:t xml:space="preserve"> (</w:t>
      </w:r>
      <w:r w:rsidR="000B269A" w:rsidRPr="00C94D9C">
        <w:rPr>
          <w:lang w:val="en-GB"/>
        </w:rPr>
        <w:t xml:space="preserve">an </w:t>
      </w:r>
      <w:r w:rsidR="000F75B0" w:rsidRPr="00C94D9C">
        <w:rPr>
          <w:lang w:val="en-GB"/>
        </w:rPr>
        <w:t xml:space="preserve">official </w:t>
      </w:r>
      <w:r w:rsidR="000B269A" w:rsidRPr="00C94D9C">
        <w:rPr>
          <w:lang w:val="en-GB"/>
        </w:rPr>
        <w:t>annual</w:t>
      </w:r>
      <w:r w:rsidR="009902D2">
        <w:rPr>
          <w:lang w:val="en-GB"/>
        </w:rPr>
        <w:t xml:space="preserve"> financial</w:t>
      </w:r>
      <w:r w:rsidR="000B269A" w:rsidRPr="00C94D9C">
        <w:rPr>
          <w:lang w:val="en-GB"/>
        </w:rPr>
        <w:t xml:space="preserve"> report </w:t>
      </w:r>
      <w:r w:rsidR="00133608" w:rsidRPr="00C94D9C">
        <w:rPr>
          <w:lang w:val="en-GB"/>
        </w:rPr>
        <w:t xml:space="preserve">shall be submitted </w:t>
      </w:r>
      <w:r w:rsidR="00332778" w:rsidRPr="00C94D9C">
        <w:rPr>
          <w:lang w:val="en-GB"/>
        </w:rPr>
        <w:t xml:space="preserve">by June 30, </w:t>
      </w:r>
      <w:proofErr w:type="gramStart"/>
      <w:r w:rsidR="00332778" w:rsidRPr="00C94D9C">
        <w:rPr>
          <w:lang w:val="en-GB"/>
        </w:rPr>
        <w:t>2022</w:t>
      </w:r>
      <w:proofErr w:type="gramEnd"/>
      <w:r w:rsidR="00332778" w:rsidRPr="00C94D9C">
        <w:rPr>
          <w:lang w:val="en-GB"/>
        </w:rPr>
        <w:t xml:space="preserve"> at the latest</w:t>
      </w:r>
      <w:r w:rsidR="000B269A" w:rsidRPr="00C94D9C">
        <w:rPr>
          <w:lang w:val="en-GB"/>
        </w:rPr>
        <w:t>)</w:t>
      </w:r>
    </w:p>
    <w:p w14:paraId="2D10FF43" w14:textId="4FD77515" w:rsidR="00FF01B4" w:rsidRPr="00C94D9C" w:rsidRDefault="00FF01B4" w:rsidP="00D02D53">
      <w:pPr>
        <w:pStyle w:val="ListParagraph"/>
        <w:numPr>
          <w:ilvl w:val="0"/>
          <w:numId w:val="24"/>
        </w:numPr>
        <w:jc w:val="both"/>
        <w:rPr>
          <w:lang w:val="en-GB"/>
        </w:rPr>
      </w:pPr>
      <w:r w:rsidRPr="00C94D9C">
        <w:rPr>
          <w:lang w:val="en-GB"/>
        </w:rPr>
        <w:t xml:space="preserve">Final report on the progress </w:t>
      </w:r>
      <w:r w:rsidR="0021016B" w:rsidRPr="00C94D9C">
        <w:rPr>
          <w:lang w:val="en-GB"/>
        </w:rPr>
        <w:t xml:space="preserve">by February 28, 2024. </w:t>
      </w:r>
      <w:r w:rsidR="000159C5" w:rsidRPr="00C94D9C">
        <w:rPr>
          <w:lang w:val="en-GB"/>
        </w:rPr>
        <w:t>The final report consists of the following:</w:t>
      </w:r>
    </w:p>
    <w:p w14:paraId="12D22638" w14:textId="2EBB6422" w:rsidR="000159C5" w:rsidRPr="00C94D9C" w:rsidRDefault="0062189B" w:rsidP="00D02D53">
      <w:pPr>
        <w:pStyle w:val="ListParagraph"/>
        <w:numPr>
          <w:ilvl w:val="1"/>
          <w:numId w:val="24"/>
        </w:numPr>
        <w:jc w:val="both"/>
        <w:rPr>
          <w:lang w:val="en-GB"/>
        </w:rPr>
      </w:pPr>
      <w:r w:rsidRPr="00C94D9C">
        <w:rPr>
          <w:lang w:val="en-GB"/>
        </w:rPr>
        <w:t>An assessment of PP’s performance in the previous calendar year on the results achieved in relation to the project application (</w:t>
      </w:r>
      <w:proofErr w:type="gramStart"/>
      <w:r w:rsidRPr="00C94D9C">
        <w:rPr>
          <w:lang w:val="en-GB"/>
        </w:rPr>
        <w:t>i.e.</w:t>
      </w:r>
      <w:proofErr w:type="gramEnd"/>
      <w:r w:rsidRPr="00C94D9C">
        <w:rPr>
          <w:lang w:val="en-GB"/>
        </w:rPr>
        <w:t xml:space="preserve"> consistency with ACF’s Outcomes and capacity building plan submitted along with the application);</w:t>
      </w:r>
    </w:p>
    <w:p w14:paraId="0B3788FB" w14:textId="77777777" w:rsidR="005A1529" w:rsidRDefault="0062189B" w:rsidP="00D02D53">
      <w:pPr>
        <w:pStyle w:val="ListParagraph"/>
        <w:numPr>
          <w:ilvl w:val="1"/>
          <w:numId w:val="24"/>
        </w:numPr>
        <w:jc w:val="both"/>
        <w:rPr>
          <w:lang w:val="en-GB"/>
        </w:rPr>
      </w:pPr>
      <w:r w:rsidRPr="00C94D9C">
        <w:rPr>
          <w:lang w:val="en-GB"/>
        </w:rPr>
        <w:t xml:space="preserve">Up-to-date multi-annual organisational strategy/workplan, indicating which tasks, objectives and results contained therein have been implemented/achieved by the use of ACF funding </w:t>
      </w:r>
      <w:r w:rsidR="00533ED7">
        <w:rPr>
          <w:lang w:val="en-GB"/>
        </w:rPr>
        <w:t xml:space="preserve">during the entire funding </w:t>
      </w:r>
      <w:proofErr w:type="gramStart"/>
      <w:r w:rsidR="00533ED7">
        <w:rPr>
          <w:lang w:val="en-GB"/>
        </w:rPr>
        <w:t>period</w:t>
      </w:r>
      <w:r w:rsidRPr="00C94D9C">
        <w:rPr>
          <w:lang w:val="en-GB"/>
        </w:rPr>
        <w:t>;</w:t>
      </w:r>
      <w:proofErr w:type="gramEnd"/>
    </w:p>
    <w:p w14:paraId="6ACAB848" w14:textId="69BD1A54" w:rsidR="0062189B" w:rsidRPr="00BB1707" w:rsidRDefault="005A1529" w:rsidP="00D02D53">
      <w:pPr>
        <w:pStyle w:val="ListParagraph"/>
        <w:numPr>
          <w:ilvl w:val="1"/>
          <w:numId w:val="24"/>
        </w:numPr>
        <w:jc w:val="both"/>
        <w:rPr>
          <w:lang w:val="en-GB"/>
        </w:rPr>
      </w:pPr>
      <w:r w:rsidRPr="005A1529">
        <w:rPr>
          <w:lang w:val="en-GB"/>
        </w:rPr>
        <w:t xml:space="preserve">Previous year balance sheet and statement of revenues and expenses (an official annual </w:t>
      </w:r>
      <w:r w:rsidR="009902D2">
        <w:rPr>
          <w:lang w:val="en-GB"/>
        </w:rPr>
        <w:t xml:space="preserve">financial </w:t>
      </w:r>
      <w:r w:rsidRPr="005A1529">
        <w:rPr>
          <w:lang w:val="en-GB"/>
        </w:rPr>
        <w:t xml:space="preserve">report shall be submitted by June 30, </w:t>
      </w:r>
      <w:proofErr w:type="gramStart"/>
      <w:r w:rsidRPr="005A1529">
        <w:rPr>
          <w:lang w:val="en-GB"/>
        </w:rPr>
        <w:t>202</w:t>
      </w:r>
      <w:r w:rsidR="00BB1707">
        <w:rPr>
          <w:lang w:val="en-GB"/>
        </w:rPr>
        <w:t>4</w:t>
      </w:r>
      <w:proofErr w:type="gramEnd"/>
      <w:r w:rsidRPr="005A1529">
        <w:rPr>
          <w:lang w:val="en-GB"/>
        </w:rPr>
        <w:t xml:space="preserve"> at the latest)</w:t>
      </w:r>
      <w:r w:rsidR="00AC7AE9" w:rsidRPr="00BB1707">
        <w:rPr>
          <w:lang w:val="en-GB"/>
        </w:rPr>
        <w:t>;</w:t>
      </w:r>
    </w:p>
    <w:p w14:paraId="3ED12A9D" w14:textId="289638A1" w:rsidR="0062189B" w:rsidRPr="00C94D9C" w:rsidRDefault="00CB1D0F" w:rsidP="00D02D53">
      <w:pPr>
        <w:pStyle w:val="ListParagraph"/>
        <w:numPr>
          <w:ilvl w:val="1"/>
          <w:numId w:val="24"/>
        </w:numPr>
        <w:jc w:val="both"/>
        <w:rPr>
          <w:lang w:val="en-GB"/>
        </w:rPr>
      </w:pPr>
      <w:r>
        <w:rPr>
          <w:rFonts w:eastAsia="Times New Roman,MS Mincho"/>
          <w:lang w:val="en-GB" w:eastAsia="fr-FR"/>
        </w:rPr>
        <w:t>A</w:t>
      </w:r>
      <w:r w:rsidR="0062189B" w:rsidRPr="00C94D9C">
        <w:rPr>
          <w:rFonts w:eastAsia="Times New Roman,MS Mincho"/>
          <w:lang w:val="en-GB" w:eastAsia="fr-FR"/>
        </w:rPr>
        <w:t>n assurance report by an external auditor</w:t>
      </w:r>
      <w:r w:rsidR="00A83BED">
        <w:rPr>
          <w:rFonts w:eastAsia="Times New Roman,MS Mincho"/>
          <w:lang w:val="en-GB" w:eastAsia="fr-FR"/>
        </w:rPr>
        <w:t xml:space="preserve"> (i</w:t>
      </w:r>
      <w:r w:rsidR="00A83BED" w:rsidRPr="005E2F5C">
        <w:rPr>
          <w:rFonts w:eastAsia="Times New Roman,MS Mincho"/>
          <w:lang w:val="en-GB" w:eastAsia="fr-FR"/>
        </w:rPr>
        <w:t xml:space="preserve">f the PP commissions annual audit reports for other purposes the report of the latest year of the grant implementation may be provided instead, </w:t>
      </w:r>
      <w:proofErr w:type="gramStart"/>
      <w:r w:rsidR="00A83BED" w:rsidRPr="005E2F5C">
        <w:rPr>
          <w:rFonts w:eastAsia="Times New Roman,MS Mincho"/>
          <w:lang w:val="en-GB" w:eastAsia="fr-FR"/>
        </w:rPr>
        <w:t>provided that</w:t>
      </w:r>
      <w:proofErr w:type="gramEnd"/>
      <w:r w:rsidR="00A83BED" w:rsidRPr="005E2F5C">
        <w:rPr>
          <w:rFonts w:eastAsia="Times New Roman,MS Mincho"/>
          <w:lang w:val="en-GB" w:eastAsia="fr-FR"/>
        </w:rPr>
        <w:t xml:space="preserve"> it covers and specifically mentions the Norway Grants contribution</w:t>
      </w:r>
      <w:r w:rsidR="00A83BED">
        <w:rPr>
          <w:rFonts w:eastAsia="Times New Roman,MS Mincho"/>
          <w:lang w:val="en-GB" w:eastAsia="fr-FR"/>
        </w:rPr>
        <w:t>)</w:t>
      </w:r>
      <w:r w:rsidR="0062189B" w:rsidRPr="00C94D9C">
        <w:rPr>
          <w:rFonts w:eastAsia="Times New Roman,MS Mincho"/>
          <w:lang w:val="en-GB" w:eastAsia="fr-FR"/>
        </w:rPr>
        <w:t>.</w:t>
      </w:r>
    </w:p>
    <w:p w14:paraId="036A0BCD" w14:textId="337AF6D2" w:rsidR="0062189B" w:rsidRPr="00C94D9C" w:rsidRDefault="0062189B" w:rsidP="00D02D53">
      <w:pPr>
        <w:jc w:val="both"/>
        <w:rPr>
          <w:lang w:val="en-GB"/>
        </w:rPr>
      </w:pPr>
      <w:r w:rsidRPr="00C94D9C">
        <w:rPr>
          <w:lang w:val="en-GB"/>
        </w:rPr>
        <w:t xml:space="preserve">Annual and final report will be approved </w:t>
      </w:r>
      <w:r w:rsidR="00D76799" w:rsidRPr="00C94D9C">
        <w:rPr>
          <w:lang w:val="en-GB"/>
        </w:rPr>
        <w:t xml:space="preserve">only after </w:t>
      </w:r>
      <w:r w:rsidR="00CA1345" w:rsidRPr="00C94D9C">
        <w:rPr>
          <w:lang w:val="en-GB"/>
        </w:rPr>
        <w:t>an individual annual evaluation meeting of the Fund Operator with the Project Promoter.</w:t>
      </w:r>
    </w:p>
    <w:p w14:paraId="33F86E76" w14:textId="77777777" w:rsidR="003D08B6" w:rsidRDefault="003D08B6" w:rsidP="00D02D53">
      <w:pPr>
        <w:jc w:val="both"/>
        <w:rPr>
          <w:highlight w:val="yellow"/>
          <w:lang w:val="en-GB"/>
        </w:rPr>
      </w:pPr>
    </w:p>
    <w:p w14:paraId="7B880DAB" w14:textId="5B193649" w:rsidR="003D08B6" w:rsidRPr="00C17BB4" w:rsidRDefault="00126666" w:rsidP="00D02D53">
      <w:pPr>
        <w:pStyle w:val="Heading2"/>
        <w:jc w:val="both"/>
      </w:pPr>
      <w:r w:rsidRPr="00C17BB4">
        <w:t>Informing the public</w:t>
      </w:r>
    </w:p>
    <w:p w14:paraId="6C5555B3" w14:textId="3B8AD9B9" w:rsidR="00126666" w:rsidRDefault="00C17BB4" w:rsidP="00D02D53">
      <w:pPr>
        <w:jc w:val="both"/>
        <w:rPr>
          <w:lang w:val="en-GB"/>
        </w:rPr>
      </w:pPr>
      <w:r w:rsidRPr="00C17BB4">
        <w:rPr>
          <w:lang w:val="en-GB"/>
        </w:rPr>
        <w:t xml:space="preserve">Project promoters are obliged </w:t>
      </w:r>
      <w:r>
        <w:rPr>
          <w:lang w:val="en-GB"/>
        </w:rPr>
        <w:t>to inform the public on receiving the grant from ACF.</w:t>
      </w:r>
    </w:p>
    <w:p w14:paraId="64F54B64" w14:textId="77777777" w:rsidR="007F664F" w:rsidRPr="00C17BB4" w:rsidRDefault="007F664F" w:rsidP="00D02D53">
      <w:pPr>
        <w:jc w:val="both"/>
        <w:rPr>
          <w:lang w:val="en-GB"/>
        </w:rPr>
      </w:pPr>
    </w:p>
    <w:p w14:paraId="0A08DD58" w14:textId="2E30FF0A" w:rsidR="0011425A" w:rsidRPr="005E2F5C" w:rsidRDefault="005370BC" w:rsidP="00D02D53">
      <w:pPr>
        <w:pStyle w:val="Heading1"/>
        <w:jc w:val="both"/>
        <w:rPr>
          <w:lang w:val="en-GB"/>
        </w:rPr>
      </w:pPr>
      <w:r>
        <w:rPr>
          <w:lang w:val="en-GB"/>
        </w:rPr>
        <w:t>Application</w:t>
      </w:r>
      <w:r w:rsidR="0072656E" w:rsidRPr="005E2F5C">
        <w:rPr>
          <w:lang w:val="en-GB"/>
        </w:rPr>
        <w:t xml:space="preserve"> process</w:t>
      </w:r>
    </w:p>
    <w:p w14:paraId="5B183017" w14:textId="0C04BB72" w:rsidR="005370BC" w:rsidRDefault="005F1143" w:rsidP="00D02D53">
      <w:pPr>
        <w:jc w:val="both"/>
        <w:rPr>
          <w:lang w:val="en-GB"/>
        </w:rPr>
      </w:pPr>
      <w:r>
        <w:rPr>
          <w:lang w:val="en-GB"/>
        </w:rPr>
        <w:t>Application</w:t>
      </w:r>
      <w:r w:rsidR="003F7D73">
        <w:rPr>
          <w:lang w:val="en-GB"/>
        </w:rPr>
        <w:t xml:space="preserve">s must be submitted on designated application </w:t>
      </w:r>
      <w:r w:rsidR="005A702F">
        <w:rPr>
          <w:lang w:val="en-GB"/>
        </w:rPr>
        <w:t>forms in accordance with the instructions.</w:t>
      </w:r>
    </w:p>
    <w:p w14:paraId="517F6E22" w14:textId="0D8F5523" w:rsidR="005A702F" w:rsidRDefault="005A702F" w:rsidP="00D02D53">
      <w:pPr>
        <w:jc w:val="both"/>
        <w:rPr>
          <w:lang w:val="en-GB"/>
        </w:rPr>
      </w:pPr>
      <w:r>
        <w:rPr>
          <w:lang w:val="en-GB"/>
        </w:rPr>
        <w:t>A complete application consists of the following documents:</w:t>
      </w:r>
    </w:p>
    <w:p w14:paraId="7C2ED7B6" w14:textId="5566DE79" w:rsidR="005A702F" w:rsidRDefault="00EA5FEC" w:rsidP="00D02D53">
      <w:pPr>
        <w:pStyle w:val="ListParagraph"/>
        <w:numPr>
          <w:ilvl w:val="0"/>
          <w:numId w:val="40"/>
        </w:numPr>
        <w:jc w:val="both"/>
        <w:rPr>
          <w:lang w:val="en-GB"/>
        </w:rPr>
      </w:pPr>
      <w:r>
        <w:rPr>
          <w:lang w:val="en-GB"/>
        </w:rPr>
        <w:t>A completed application form (word or pdf</w:t>
      </w:r>
      <w:proofErr w:type="gramStart"/>
      <w:r>
        <w:rPr>
          <w:lang w:val="en-GB"/>
        </w:rPr>
        <w:t>)</w:t>
      </w:r>
      <w:r w:rsidR="00AF2179">
        <w:rPr>
          <w:lang w:val="en-GB"/>
        </w:rPr>
        <w:t>;</w:t>
      </w:r>
      <w:proofErr w:type="gramEnd"/>
    </w:p>
    <w:p w14:paraId="25CE7175" w14:textId="6671A757" w:rsidR="00EA5FEC" w:rsidRDefault="00EA5FEC" w:rsidP="00D02D53">
      <w:pPr>
        <w:pStyle w:val="ListParagraph"/>
        <w:numPr>
          <w:ilvl w:val="0"/>
          <w:numId w:val="40"/>
        </w:numPr>
        <w:jc w:val="both"/>
        <w:rPr>
          <w:lang w:val="en-GB"/>
        </w:rPr>
      </w:pPr>
      <w:r>
        <w:rPr>
          <w:lang w:val="en-GB"/>
        </w:rPr>
        <w:t xml:space="preserve">A completed </w:t>
      </w:r>
      <w:r w:rsidR="000B0F01">
        <w:rPr>
          <w:lang w:val="en-GB"/>
        </w:rPr>
        <w:t>2-year organisational budget</w:t>
      </w:r>
      <w:r w:rsidR="0090332B">
        <w:rPr>
          <w:lang w:val="en-GB"/>
        </w:rPr>
        <w:t xml:space="preserve"> (excel</w:t>
      </w:r>
      <w:proofErr w:type="gramStart"/>
      <w:r w:rsidR="0090332B">
        <w:rPr>
          <w:lang w:val="en-GB"/>
        </w:rPr>
        <w:t>)</w:t>
      </w:r>
      <w:r w:rsidR="00AF2179">
        <w:rPr>
          <w:lang w:val="en-GB"/>
        </w:rPr>
        <w:t>;</w:t>
      </w:r>
      <w:proofErr w:type="gramEnd"/>
    </w:p>
    <w:p w14:paraId="2E8BC164" w14:textId="66A2FC2F" w:rsidR="0090332B" w:rsidRDefault="0090332B" w:rsidP="00D02D53">
      <w:pPr>
        <w:pStyle w:val="ListParagraph"/>
        <w:numPr>
          <w:ilvl w:val="0"/>
          <w:numId w:val="40"/>
        </w:numPr>
        <w:jc w:val="both"/>
        <w:rPr>
          <w:lang w:val="en-GB"/>
        </w:rPr>
      </w:pPr>
      <w:r>
        <w:rPr>
          <w:lang w:val="en-GB"/>
        </w:rPr>
        <w:t xml:space="preserve">Organisation’s </w:t>
      </w:r>
      <w:r w:rsidR="00DA004C">
        <w:rPr>
          <w:lang w:val="en-GB"/>
        </w:rPr>
        <w:t xml:space="preserve">multi-annual strategy and/or work </w:t>
      </w:r>
      <w:proofErr w:type="gramStart"/>
      <w:r w:rsidR="00DA004C">
        <w:rPr>
          <w:lang w:val="en-GB"/>
        </w:rPr>
        <w:t>plan;</w:t>
      </w:r>
      <w:proofErr w:type="gramEnd"/>
    </w:p>
    <w:p w14:paraId="27B428EC" w14:textId="6EDD7DB4" w:rsidR="001B4AC4" w:rsidRDefault="001B4AC4" w:rsidP="00D02D53">
      <w:pPr>
        <w:pStyle w:val="ListParagraph"/>
        <w:numPr>
          <w:ilvl w:val="0"/>
          <w:numId w:val="40"/>
        </w:numPr>
        <w:jc w:val="both"/>
        <w:rPr>
          <w:lang w:val="en-GB"/>
        </w:rPr>
      </w:pPr>
      <w:r>
        <w:rPr>
          <w:lang w:val="en-GB"/>
        </w:rPr>
        <w:t xml:space="preserve">Annual </w:t>
      </w:r>
      <w:r w:rsidR="005A03AB">
        <w:rPr>
          <w:lang w:val="en-GB"/>
        </w:rPr>
        <w:t xml:space="preserve">reports of 2019 and 2020 fiscal years submitted to </w:t>
      </w:r>
      <w:r w:rsidR="0095142A">
        <w:rPr>
          <w:lang w:val="en-GB"/>
        </w:rPr>
        <w:t xml:space="preserve">the Business Registry (or link </w:t>
      </w:r>
      <w:r w:rsidR="005F1AF7">
        <w:rPr>
          <w:lang w:val="en-GB"/>
        </w:rPr>
        <w:t xml:space="preserve">to these annual reports </w:t>
      </w:r>
      <w:r w:rsidR="00DB787C">
        <w:rPr>
          <w:lang w:val="en-GB"/>
        </w:rPr>
        <w:t>at the last page of the application form</w:t>
      </w:r>
      <w:proofErr w:type="gramStart"/>
      <w:r w:rsidR="005F1AF7">
        <w:rPr>
          <w:lang w:val="en-GB"/>
        </w:rPr>
        <w:t>);</w:t>
      </w:r>
      <w:proofErr w:type="gramEnd"/>
    </w:p>
    <w:p w14:paraId="651B896B" w14:textId="3D0ECDF5" w:rsidR="005F1AF7" w:rsidRDefault="007A5F09" w:rsidP="00AF2179">
      <w:pPr>
        <w:pStyle w:val="ListParagraph"/>
        <w:numPr>
          <w:ilvl w:val="0"/>
          <w:numId w:val="40"/>
        </w:numPr>
        <w:spacing w:after="0"/>
        <w:rPr>
          <w:lang w:val="en-GB"/>
        </w:rPr>
      </w:pPr>
      <w:proofErr w:type="gramStart"/>
      <w:r>
        <w:rPr>
          <w:lang w:val="en-GB"/>
        </w:rPr>
        <w:t>CV’s</w:t>
      </w:r>
      <w:proofErr w:type="gramEnd"/>
      <w:r>
        <w:rPr>
          <w:lang w:val="en-GB"/>
        </w:rPr>
        <w:t xml:space="preserve"> on key person</w:t>
      </w:r>
      <w:r w:rsidR="00AF2179">
        <w:rPr>
          <w:lang w:val="en-GB"/>
        </w:rPr>
        <w:t>n</w:t>
      </w:r>
      <w:r>
        <w:rPr>
          <w:lang w:val="en-GB"/>
        </w:rPr>
        <w:t>el</w:t>
      </w:r>
      <w:r w:rsidR="001728F3">
        <w:rPr>
          <w:lang w:val="en-GB"/>
        </w:rPr>
        <w:t>.</w:t>
      </w:r>
    </w:p>
    <w:p w14:paraId="775BACBE" w14:textId="77777777" w:rsidR="001728F3" w:rsidRDefault="001728F3" w:rsidP="00AF2179">
      <w:pPr>
        <w:spacing w:after="0"/>
        <w:rPr>
          <w:lang w:val="en-GB"/>
        </w:rPr>
      </w:pPr>
    </w:p>
    <w:p w14:paraId="212EA603" w14:textId="3B003C47" w:rsidR="004A1D09" w:rsidRPr="00AF2179" w:rsidRDefault="004A1D09" w:rsidP="00AF2179">
      <w:pPr>
        <w:rPr>
          <w:lang w:val="en-GB"/>
        </w:rPr>
      </w:pPr>
      <w:r w:rsidRPr="00F63D0D">
        <w:rPr>
          <w:rFonts w:asciiTheme="minorHAnsi" w:eastAsiaTheme="minorEastAsia" w:hAnsiTheme="minorHAnsi" w:cstheme="minorBidi"/>
          <w:lang w:val="en-GB"/>
        </w:rPr>
        <w:t>Deadline for submitting applications is</w:t>
      </w:r>
      <w:r w:rsidR="00AF2179">
        <w:rPr>
          <w:rFonts w:asciiTheme="minorHAnsi" w:eastAsiaTheme="minorEastAsia" w:hAnsiTheme="minorHAnsi" w:cstheme="minorBidi"/>
          <w:lang w:val="en-GB"/>
        </w:rPr>
        <w:t xml:space="preserve"> </w:t>
      </w:r>
      <w:r w:rsidR="00AF2179" w:rsidRPr="00DB787C">
        <w:rPr>
          <w:rFonts w:asciiTheme="minorHAnsi" w:eastAsiaTheme="minorEastAsia" w:hAnsiTheme="minorHAnsi" w:cstheme="minorBidi"/>
          <w:b/>
          <w:bCs/>
          <w:lang w:val="en-GB"/>
        </w:rPr>
        <w:t>January 1</w:t>
      </w:r>
      <w:r w:rsidR="00DB787C" w:rsidRPr="00DB787C">
        <w:rPr>
          <w:rFonts w:asciiTheme="minorHAnsi" w:eastAsiaTheme="minorEastAsia" w:hAnsiTheme="minorHAnsi" w:cstheme="minorBidi"/>
          <w:b/>
          <w:bCs/>
          <w:lang w:val="en-GB"/>
        </w:rPr>
        <w:t>8</w:t>
      </w:r>
      <w:r w:rsidR="00AF2179" w:rsidRPr="00DB787C">
        <w:rPr>
          <w:rFonts w:asciiTheme="minorHAnsi" w:eastAsiaTheme="minorEastAsia" w:hAnsiTheme="minorHAnsi" w:cstheme="minorBidi"/>
          <w:b/>
          <w:bCs/>
          <w:lang w:val="en-GB"/>
        </w:rPr>
        <w:t>, 2022</w:t>
      </w:r>
      <w:r w:rsidR="00AF2179">
        <w:rPr>
          <w:rFonts w:asciiTheme="minorHAnsi" w:eastAsiaTheme="minorEastAsia" w:hAnsiTheme="minorHAnsi" w:cstheme="minorBidi"/>
          <w:lang w:val="en-GB"/>
        </w:rPr>
        <w:t>.</w:t>
      </w:r>
      <w:r w:rsidRPr="00F63D0D">
        <w:rPr>
          <w:rFonts w:asciiTheme="minorHAnsi" w:eastAsiaTheme="minorEastAsia" w:hAnsiTheme="minorHAnsi" w:cstheme="minorBidi"/>
          <w:lang w:val="en-GB"/>
        </w:rPr>
        <w:t xml:space="preserve"> </w:t>
      </w:r>
      <w:r w:rsidR="0036445F">
        <w:rPr>
          <w:rFonts w:asciiTheme="minorHAnsi" w:eastAsiaTheme="minorEastAsia" w:hAnsiTheme="minorHAnsi" w:cstheme="minorBidi"/>
          <w:lang w:val="en-GB"/>
        </w:rPr>
        <w:t>Complete a</w:t>
      </w:r>
      <w:r w:rsidRPr="00F63D0D">
        <w:rPr>
          <w:rFonts w:asciiTheme="minorHAnsi" w:eastAsiaTheme="minorEastAsia" w:hAnsiTheme="minorHAnsi" w:cstheme="minorBidi"/>
          <w:lang w:val="en-GB"/>
        </w:rPr>
        <w:t xml:space="preserve">pplications should be submitted in the Estonian language electronically via e-mail sent to </w:t>
      </w:r>
      <w:hyperlink r:id="rId13" w:history="1">
        <w:r w:rsidRPr="00F63D0D">
          <w:rPr>
            <w:rStyle w:val="Hyperlink"/>
            <w:rFonts w:asciiTheme="minorHAnsi" w:eastAsiaTheme="minorEastAsia" w:hAnsiTheme="minorHAnsi" w:cstheme="minorBidi"/>
            <w:lang w:val="en-GB"/>
          </w:rPr>
          <w:t>acf@oef.org.ee</w:t>
        </w:r>
      </w:hyperlink>
      <w:r w:rsidRPr="00F63D0D">
        <w:rPr>
          <w:rFonts w:asciiTheme="minorHAnsi" w:eastAsiaTheme="minorEastAsia" w:hAnsiTheme="minorHAnsi" w:cstheme="minorBidi"/>
          <w:lang w:val="en-GB"/>
        </w:rPr>
        <w:t xml:space="preserve"> by 23:59 Estonian time on the date of the deadline of the call. All documents must be in one digital container signed by an authorized person.</w:t>
      </w:r>
    </w:p>
    <w:p w14:paraId="7F8ACFED" w14:textId="77777777" w:rsidR="005D76DD" w:rsidRDefault="005D76DD" w:rsidP="00D02D53">
      <w:pPr>
        <w:jc w:val="both"/>
        <w:rPr>
          <w:lang w:val="en-GB"/>
        </w:rPr>
      </w:pPr>
    </w:p>
    <w:p w14:paraId="3E6D9EBD" w14:textId="7D0ECD18" w:rsidR="005D76DD" w:rsidRPr="001728F3" w:rsidRDefault="00EB6D21" w:rsidP="00D02D53">
      <w:pPr>
        <w:pStyle w:val="Heading1"/>
        <w:jc w:val="both"/>
      </w:pPr>
      <w:r>
        <w:t>selection process</w:t>
      </w:r>
    </w:p>
    <w:p w14:paraId="5CF56CFB" w14:textId="6977B869" w:rsidR="0072656E" w:rsidRDefault="00274DE6" w:rsidP="00D02D53">
      <w:pPr>
        <w:jc w:val="both"/>
        <w:rPr>
          <w:lang w:val="en-GB"/>
        </w:rPr>
      </w:pPr>
      <w:r w:rsidRPr="005E2F5C">
        <w:rPr>
          <w:lang w:val="en-GB"/>
        </w:rPr>
        <w:t xml:space="preserve">Selection </w:t>
      </w:r>
      <w:r w:rsidR="00EC10D9">
        <w:rPr>
          <w:lang w:val="en-GB"/>
        </w:rPr>
        <w:t xml:space="preserve">process consists of </w:t>
      </w:r>
      <w:r w:rsidR="00362214" w:rsidRPr="005E2F5C">
        <w:rPr>
          <w:lang w:val="en-GB"/>
        </w:rPr>
        <w:t>four</w:t>
      </w:r>
      <w:r w:rsidR="00A1320A" w:rsidRPr="005E2F5C">
        <w:rPr>
          <w:lang w:val="en-GB"/>
        </w:rPr>
        <w:t xml:space="preserve"> stages:</w:t>
      </w:r>
    </w:p>
    <w:p w14:paraId="4773CE51" w14:textId="3C34F73D" w:rsidR="006578BA" w:rsidRDefault="00A1320A" w:rsidP="00D02D53">
      <w:pPr>
        <w:pStyle w:val="ListParagraph"/>
        <w:numPr>
          <w:ilvl w:val="0"/>
          <w:numId w:val="6"/>
        </w:numPr>
        <w:jc w:val="both"/>
        <w:rPr>
          <w:lang w:val="en-GB"/>
        </w:rPr>
      </w:pPr>
      <w:r w:rsidRPr="00A1320A">
        <w:rPr>
          <w:lang w:val="en-GB"/>
        </w:rPr>
        <w:t xml:space="preserve">Compliance with </w:t>
      </w:r>
      <w:r w:rsidR="006578BA" w:rsidRPr="00A1320A">
        <w:rPr>
          <w:lang w:val="en-GB"/>
        </w:rPr>
        <w:t>administrative and eligibility c</w:t>
      </w:r>
      <w:r w:rsidR="0044774A" w:rsidRPr="00A1320A">
        <w:rPr>
          <w:lang w:val="en-GB"/>
        </w:rPr>
        <w:t>riteria</w:t>
      </w:r>
    </w:p>
    <w:p w14:paraId="54FD9D86" w14:textId="56FDAD29" w:rsidR="00A1320A" w:rsidRDefault="00092638" w:rsidP="00D02D53">
      <w:pPr>
        <w:pStyle w:val="ListParagraph"/>
        <w:numPr>
          <w:ilvl w:val="0"/>
          <w:numId w:val="6"/>
        </w:numPr>
        <w:jc w:val="both"/>
        <w:rPr>
          <w:lang w:val="en-GB"/>
        </w:rPr>
      </w:pPr>
      <w:r>
        <w:rPr>
          <w:lang w:val="en-GB"/>
        </w:rPr>
        <w:t xml:space="preserve">Evaluation </w:t>
      </w:r>
      <w:r w:rsidR="00EC10D9">
        <w:rPr>
          <w:lang w:val="en-GB"/>
        </w:rPr>
        <w:t xml:space="preserve">of applications </w:t>
      </w:r>
      <w:r>
        <w:rPr>
          <w:lang w:val="en-GB"/>
        </w:rPr>
        <w:t>by independent experts</w:t>
      </w:r>
    </w:p>
    <w:p w14:paraId="0526581C" w14:textId="5CE8DB1B" w:rsidR="002602DE" w:rsidRDefault="002602DE" w:rsidP="00D02D53">
      <w:pPr>
        <w:pStyle w:val="ListParagraph"/>
        <w:numPr>
          <w:ilvl w:val="0"/>
          <w:numId w:val="6"/>
        </w:numPr>
        <w:jc w:val="both"/>
        <w:rPr>
          <w:lang w:val="en-GB"/>
        </w:rPr>
      </w:pPr>
      <w:r w:rsidRPr="005E2F5C">
        <w:rPr>
          <w:lang w:val="en-GB"/>
        </w:rPr>
        <w:t xml:space="preserve">Selection Committee </w:t>
      </w:r>
      <w:r w:rsidR="00DC3C09" w:rsidRPr="005E2F5C">
        <w:rPr>
          <w:lang w:val="en-GB"/>
        </w:rPr>
        <w:t>review</w:t>
      </w:r>
      <w:r w:rsidR="00EC10D9">
        <w:rPr>
          <w:lang w:val="en-GB"/>
        </w:rPr>
        <w:t xml:space="preserve"> and recommendations to the Board of Open Estonia Foundation</w:t>
      </w:r>
    </w:p>
    <w:p w14:paraId="3DB471B3" w14:textId="6C2A7326" w:rsidR="002602DE" w:rsidRDefault="002602DE" w:rsidP="00D02D53">
      <w:pPr>
        <w:pStyle w:val="ListParagraph"/>
        <w:numPr>
          <w:ilvl w:val="0"/>
          <w:numId w:val="6"/>
        </w:numPr>
        <w:jc w:val="both"/>
        <w:rPr>
          <w:lang w:val="en-GB"/>
        </w:rPr>
      </w:pPr>
      <w:r>
        <w:rPr>
          <w:lang w:val="en-GB"/>
        </w:rPr>
        <w:t>The Board of the Open Estonia Foundation will make the final decision</w:t>
      </w:r>
      <w:r w:rsidR="00362214">
        <w:rPr>
          <w:lang w:val="en-GB"/>
        </w:rPr>
        <w:t xml:space="preserve"> on which projects are selected for funding</w:t>
      </w:r>
    </w:p>
    <w:p w14:paraId="5DF469E2" w14:textId="0527F006" w:rsidR="004A6649" w:rsidRPr="004A6649" w:rsidRDefault="004A6649" w:rsidP="00D02D53">
      <w:pPr>
        <w:jc w:val="both"/>
        <w:rPr>
          <w:lang w:val="en-GB"/>
        </w:rPr>
      </w:pPr>
      <w:r w:rsidRPr="00AD35F0">
        <w:rPr>
          <w:lang w:val="en-GB"/>
        </w:rPr>
        <w:t xml:space="preserve">The entire selection process will take approximately </w:t>
      </w:r>
      <w:r w:rsidRPr="00AC7AE9">
        <w:rPr>
          <w:lang w:val="en-GB"/>
        </w:rPr>
        <w:t>2 months.</w:t>
      </w:r>
    </w:p>
    <w:p w14:paraId="2A4D2687" w14:textId="6D98C795" w:rsidR="00092638" w:rsidRDefault="00092638" w:rsidP="00D02D53">
      <w:pPr>
        <w:pStyle w:val="Heading2"/>
        <w:jc w:val="both"/>
      </w:pPr>
      <w:r>
        <w:t xml:space="preserve">Administrative and eligibility check </w:t>
      </w:r>
    </w:p>
    <w:p w14:paraId="40BECD32" w14:textId="2D8A362D" w:rsidR="006578BA" w:rsidRPr="009919F3" w:rsidRDefault="006578BA" w:rsidP="00D02D53">
      <w:pPr>
        <w:spacing w:after="0"/>
        <w:jc w:val="both"/>
        <w:rPr>
          <w:lang w:val="en-GB"/>
        </w:rPr>
      </w:pPr>
      <w:r w:rsidRPr="00092638">
        <w:rPr>
          <w:u w:val="single"/>
          <w:lang w:val="en-GB"/>
        </w:rPr>
        <w:t>Administrative criteria</w:t>
      </w:r>
      <w:r w:rsidRPr="009919F3">
        <w:rPr>
          <w:lang w:val="en-GB"/>
        </w:rPr>
        <w:t xml:space="preserve"> include the following:</w:t>
      </w:r>
    </w:p>
    <w:p w14:paraId="72D2D3D9" w14:textId="39C13D68" w:rsidR="006578BA" w:rsidRPr="009919F3" w:rsidRDefault="006578BA" w:rsidP="00D02D53">
      <w:pPr>
        <w:spacing w:after="0"/>
        <w:ind w:left="714"/>
        <w:jc w:val="both"/>
        <w:rPr>
          <w:lang w:val="en-GB"/>
        </w:rPr>
      </w:pPr>
      <w:r w:rsidRPr="009919F3">
        <w:rPr>
          <w:lang w:val="en-GB"/>
        </w:rPr>
        <w:t xml:space="preserve">-        The application </w:t>
      </w:r>
      <w:r w:rsidR="00ED4AB3">
        <w:rPr>
          <w:lang w:val="en-GB"/>
        </w:rPr>
        <w:t>together wit</w:t>
      </w:r>
      <w:r w:rsidR="008C67CB">
        <w:rPr>
          <w:lang w:val="en-GB"/>
        </w:rPr>
        <w:t xml:space="preserve">h </w:t>
      </w:r>
      <w:r w:rsidR="0062184C">
        <w:rPr>
          <w:lang w:val="en-GB"/>
        </w:rPr>
        <w:t>annexes</w:t>
      </w:r>
      <w:r w:rsidR="008C67CB">
        <w:rPr>
          <w:lang w:val="en-GB"/>
        </w:rPr>
        <w:t xml:space="preserve"> </w:t>
      </w:r>
      <w:r w:rsidRPr="009919F3">
        <w:rPr>
          <w:lang w:val="en-GB"/>
        </w:rPr>
        <w:t xml:space="preserve">has been submitted by the deadline, </w:t>
      </w:r>
      <w:proofErr w:type="gramStart"/>
      <w:r w:rsidRPr="009919F3">
        <w:rPr>
          <w:lang w:val="en-GB"/>
        </w:rPr>
        <w:t>i.e.</w:t>
      </w:r>
      <w:proofErr w:type="gramEnd"/>
      <w:r w:rsidRPr="009919F3">
        <w:rPr>
          <w:lang w:val="en-GB"/>
        </w:rPr>
        <w:t xml:space="preserve"> the date and time as published in the call;</w:t>
      </w:r>
    </w:p>
    <w:p w14:paraId="7042EB04" w14:textId="70FC86F8" w:rsidR="00ED4AB3" w:rsidRDefault="006578BA" w:rsidP="00D02D53">
      <w:pPr>
        <w:spacing w:after="0"/>
        <w:ind w:left="714"/>
        <w:jc w:val="both"/>
        <w:rPr>
          <w:lang w:val="en-GB"/>
        </w:rPr>
      </w:pPr>
      <w:r w:rsidRPr="009919F3">
        <w:rPr>
          <w:lang w:val="en-GB"/>
        </w:rPr>
        <w:t>-        The application</w:t>
      </w:r>
      <w:r w:rsidR="002C03CB">
        <w:rPr>
          <w:lang w:val="en-GB"/>
        </w:rPr>
        <w:t xml:space="preserve"> is </w:t>
      </w:r>
      <w:r w:rsidRPr="009919F3">
        <w:rPr>
          <w:lang w:val="en-GB"/>
        </w:rPr>
        <w:t>signed by an authorized person</w:t>
      </w:r>
      <w:r w:rsidR="00ED4AB3">
        <w:rPr>
          <w:lang w:val="en-GB"/>
        </w:rPr>
        <w:t>.</w:t>
      </w:r>
    </w:p>
    <w:p w14:paraId="14BB0054" w14:textId="55F1C1D9" w:rsidR="006578BA" w:rsidRPr="009919F3" w:rsidRDefault="006578BA" w:rsidP="00D02D53">
      <w:pPr>
        <w:jc w:val="both"/>
        <w:rPr>
          <w:lang w:val="en-GB"/>
        </w:rPr>
      </w:pPr>
      <w:r w:rsidRPr="009919F3">
        <w:rPr>
          <w:lang w:val="en-GB"/>
        </w:rPr>
        <w:t xml:space="preserve">Non-compliance with any of the above criteria will lead to the automatic rejection of the </w:t>
      </w:r>
      <w:r w:rsidR="005F17FA">
        <w:rPr>
          <w:lang w:val="en-GB"/>
        </w:rPr>
        <w:t>application</w:t>
      </w:r>
      <w:r w:rsidRPr="005E2F5C">
        <w:rPr>
          <w:lang w:val="en-GB"/>
        </w:rPr>
        <w:t>.</w:t>
      </w:r>
      <w:r w:rsidRPr="009919F3">
        <w:rPr>
          <w:lang w:val="en-GB"/>
        </w:rPr>
        <w:t xml:space="preserve"> The respective applicant is notified of non-compliance within 5 working days.</w:t>
      </w:r>
    </w:p>
    <w:p w14:paraId="65084FAF" w14:textId="77777777" w:rsidR="006578BA" w:rsidRPr="009919F3" w:rsidRDefault="006578BA" w:rsidP="00D02D53">
      <w:pPr>
        <w:spacing w:after="0"/>
        <w:jc w:val="both"/>
        <w:rPr>
          <w:lang w:val="en-GB"/>
        </w:rPr>
      </w:pPr>
      <w:r w:rsidRPr="00092638">
        <w:rPr>
          <w:u w:val="single"/>
          <w:lang w:val="en-GB"/>
        </w:rPr>
        <w:t>Eligibility criteria</w:t>
      </w:r>
      <w:r w:rsidRPr="009919F3">
        <w:rPr>
          <w:lang w:val="en-GB"/>
        </w:rPr>
        <w:t xml:space="preserve"> include the following:</w:t>
      </w:r>
    </w:p>
    <w:p w14:paraId="2473F0E2" w14:textId="1E7A7102" w:rsidR="00AA22A0" w:rsidRDefault="006578BA" w:rsidP="00F1740F">
      <w:pPr>
        <w:pStyle w:val="Heading2"/>
        <w:numPr>
          <w:ilvl w:val="0"/>
          <w:numId w:val="0"/>
        </w:numPr>
        <w:spacing w:before="0"/>
        <w:ind w:left="576" w:hanging="576"/>
        <w:jc w:val="both"/>
        <w:rPr>
          <w:b w:val="0"/>
          <w:bCs/>
        </w:rPr>
      </w:pPr>
      <w:r w:rsidRPr="00AA22A0">
        <w:rPr>
          <w:b w:val="0"/>
          <w:bCs/>
        </w:rPr>
        <w:t xml:space="preserve">-        The applicant </w:t>
      </w:r>
      <w:r w:rsidR="005E4592" w:rsidRPr="00AA22A0">
        <w:rPr>
          <w:b w:val="0"/>
          <w:bCs/>
        </w:rPr>
        <w:t>meets eligibility criteria of Art. 2.1 “Eligible applicants”</w:t>
      </w:r>
      <w:r w:rsidR="00AA22A0" w:rsidRPr="00AA22A0">
        <w:rPr>
          <w:b w:val="0"/>
          <w:bCs/>
        </w:rPr>
        <w:t xml:space="preserve"> and “Additional criteria of eligibility of applicants under the Call for Institutional Grants”</w:t>
      </w:r>
      <w:r w:rsidR="00551C78">
        <w:rPr>
          <w:b w:val="0"/>
          <w:bCs/>
        </w:rPr>
        <w:t>:</w:t>
      </w:r>
    </w:p>
    <w:tbl>
      <w:tblPr>
        <w:tblStyle w:val="TableGrid"/>
        <w:tblW w:w="0" w:type="auto"/>
        <w:tblLook w:val="04A0" w:firstRow="1" w:lastRow="0" w:firstColumn="1" w:lastColumn="0" w:noHBand="0" w:noVBand="1"/>
      </w:tblPr>
      <w:tblGrid>
        <w:gridCol w:w="562"/>
        <w:gridCol w:w="7371"/>
        <w:gridCol w:w="1129"/>
      </w:tblGrid>
      <w:tr w:rsidR="00C22CEA" w14:paraId="16C2E788" w14:textId="77777777" w:rsidTr="00C22CEA">
        <w:tc>
          <w:tcPr>
            <w:tcW w:w="562" w:type="dxa"/>
          </w:tcPr>
          <w:p w14:paraId="4F8A3AFD" w14:textId="24C291CA" w:rsidR="00C22CEA" w:rsidRDefault="00C22CEA" w:rsidP="00D02D53">
            <w:pPr>
              <w:jc w:val="both"/>
              <w:rPr>
                <w:lang w:val="en-GB"/>
              </w:rPr>
            </w:pPr>
            <w:r>
              <w:rPr>
                <w:lang w:val="en-GB"/>
              </w:rPr>
              <w:t>1.</w:t>
            </w:r>
          </w:p>
        </w:tc>
        <w:tc>
          <w:tcPr>
            <w:tcW w:w="7371" w:type="dxa"/>
          </w:tcPr>
          <w:p w14:paraId="0505EDCE" w14:textId="1CB4D92F" w:rsidR="00C22CEA" w:rsidRDefault="00C22CEA" w:rsidP="00D02D53">
            <w:pPr>
              <w:jc w:val="both"/>
              <w:rPr>
                <w:lang w:val="en-GB"/>
              </w:rPr>
            </w:pPr>
            <w:r>
              <w:rPr>
                <w:lang w:val="en-GB"/>
              </w:rPr>
              <w:t>Applicant meets the eligibility criteria as described in Art. 21</w:t>
            </w:r>
          </w:p>
        </w:tc>
        <w:tc>
          <w:tcPr>
            <w:tcW w:w="1129" w:type="dxa"/>
          </w:tcPr>
          <w:p w14:paraId="4F80AEE8" w14:textId="24DD2587" w:rsidR="00C22CEA" w:rsidRDefault="00C22CEA" w:rsidP="00D02D53">
            <w:pPr>
              <w:jc w:val="both"/>
              <w:rPr>
                <w:lang w:val="en-GB"/>
              </w:rPr>
            </w:pPr>
            <w:r>
              <w:rPr>
                <w:lang w:val="en-GB"/>
              </w:rPr>
              <w:t>Yes/no</w:t>
            </w:r>
          </w:p>
        </w:tc>
      </w:tr>
      <w:tr w:rsidR="00A547C1" w14:paraId="48D5D9A7" w14:textId="77777777" w:rsidTr="00C22CEA">
        <w:tc>
          <w:tcPr>
            <w:tcW w:w="562" w:type="dxa"/>
          </w:tcPr>
          <w:p w14:paraId="4E38F970" w14:textId="2BDF71A9" w:rsidR="00A547C1" w:rsidRDefault="00A547C1" w:rsidP="00D02D53">
            <w:pPr>
              <w:jc w:val="both"/>
              <w:rPr>
                <w:lang w:val="en-GB"/>
              </w:rPr>
            </w:pPr>
            <w:r>
              <w:rPr>
                <w:lang w:val="en-GB"/>
              </w:rPr>
              <w:t>2.</w:t>
            </w:r>
          </w:p>
        </w:tc>
        <w:tc>
          <w:tcPr>
            <w:tcW w:w="7371" w:type="dxa"/>
          </w:tcPr>
          <w:p w14:paraId="7AC61DE4" w14:textId="134C6BED" w:rsidR="00A547C1" w:rsidRDefault="00A547C1" w:rsidP="00D02D53">
            <w:pPr>
              <w:jc w:val="both"/>
              <w:rPr>
                <w:lang w:val="en-GB"/>
              </w:rPr>
            </w:pPr>
            <w:r>
              <w:rPr>
                <w:lang w:val="en-GB"/>
              </w:rPr>
              <w:t>The applicant has legal personality of at least 60 months before the day of deadline of submitting applications</w:t>
            </w:r>
          </w:p>
        </w:tc>
        <w:tc>
          <w:tcPr>
            <w:tcW w:w="1129" w:type="dxa"/>
          </w:tcPr>
          <w:p w14:paraId="1D75BCB9" w14:textId="6FCE3180" w:rsidR="00A547C1" w:rsidRDefault="00A547C1" w:rsidP="00D02D53">
            <w:pPr>
              <w:jc w:val="both"/>
              <w:rPr>
                <w:lang w:val="en-GB"/>
              </w:rPr>
            </w:pPr>
            <w:r w:rsidRPr="00EA50B4">
              <w:rPr>
                <w:lang w:val="en-GB"/>
              </w:rPr>
              <w:t>Yes/no</w:t>
            </w:r>
          </w:p>
        </w:tc>
      </w:tr>
      <w:tr w:rsidR="00A547C1" w14:paraId="4DF0A8ED" w14:textId="77777777" w:rsidTr="00C22CEA">
        <w:tc>
          <w:tcPr>
            <w:tcW w:w="562" w:type="dxa"/>
          </w:tcPr>
          <w:p w14:paraId="4F0BAA58" w14:textId="7247B12D" w:rsidR="00A547C1" w:rsidRDefault="00A547C1" w:rsidP="00D02D53">
            <w:pPr>
              <w:jc w:val="both"/>
              <w:rPr>
                <w:lang w:val="en-GB"/>
              </w:rPr>
            </w:pPr>
            <w:r>
              <w:rPr>
                <w:lang w:val="en-GB"/>
              </w:rPr>
              <w:t xml:space="preserve">3. </w:t>
            </w:r>
          </w:p>
        </w:tc>
        <w:tc>
          <w:tcPr>
            <w:tcW w:w="7371" w:type="dxa"/>
          </w:tcPr>
          <w:p w14:paraId="0D92C12C" w14:textId="0F538FF9" w:rsidR="00A547C1" w:rsidRDefault="00A547C1" w:rsidP="00D02D53">
            <w:pPr>
              <w:jc w:val="both"/>
              <w:rPr>
                <w:lang w:val="en-GB"/>
              </w:rPr>
            </w:pPr>
            <w:r>
              <w:rPr>
                <w:lang w:val="en-GB"/>
              </w:rPr>
              <w:t>The applicant’s annual turnover in 2019 and 2020 is between EUR 100,000 and 500,000</w:t>
            </w:r>
          </w:p>
        </w:tc>
        <w:tc>
          <w:tcPr>
            <w:tcW w:w="1129" w:type="dxa"/>
          </w:tcPr>
          <w:p w14:paraId="5209683C" w14:textId="544DE586" w:rsidR="00A547C1" w:rsidRDefault="00A547C1" w:rsidP="00D02D53">
            <w:pPr>
              <w:jc w:val="both"/>
              <w:rPr>
                <w:lang w:val="en-GB"/>
              </w:rPr>
            </w:pPr>
            <w:r w:rsidRPr="00EA50B4">
              <w:rPr>
                <w:lang w:val="en-GB"/>
              </w:rPr>
              <w:t>Yes/no</w:t>
            </w:r>
          </w:p>
        </w:tc>
      </w:tr>
      <w:tr w:rsidR="00A547C1" w14:paraId="55C98987" w14:textId="77777777" w:rsidTr="00C22CEA">
        <w:tc>
          <w:tcPr>
            <w:tcW w:w="562" w:type="dxa"/>
          </w:tcPr>
          <w:p w14:paraId="248D71DA" w14:textId="30C145F8" w:rsidR="00A547C1" w:rsidRDefault="001D6499" w:rsidP="00D02D53">
            <w:pPr>
              <w:jc w:val="both"/>
              <w:rPr>
                <w:lang w:val="en-GB"/>
              </w:rPr>
            </w:pPr>
            <w:r>
              <w:rPr>
                <w:lang w:val="en-GB"/>
              </w:rPr>
              <w:t xml:space="preserve">4. </w:t>
            </w:r>
          </w:p>
        </w:tc>
        <w:tc>
          <w:tcPr>
            <w:tcW w:w="7371" w:type="dxa"/>
          </w:tcPr>
          <w:p w14:paraId="7C882758" w14:textId="77777777" w:rsidR="00A547C1" w:rsidRDefault="001D6499" w:rsidP="00D02D53">
            <w:pPr>
              <w:jc w:val="both"/>
              <w:rPr>
                <w:lang w:val="en-GB"/>
              </w:rPr>
            </w:pPr>
            <w:r>
              <w:rPr>
                <w:lang w:val="en-GB"/>
              </w:rPr>
              <w:t xml:space="preserve">The applicant has core activities </w:t>
            </w:r>
            <w:r w:rsidR="009A42DA">
              <w:rPr>
                <w:lang w:val="en-GB"/>
              </w:rPr>
              <w:t xml:space="preserve">in the following areas </w:t>
            </w:r>
            <w:r w:rsidR="007862E3">
              <w:rPr>
                <w:lang w:val="en-GB"/>
              </w:rPr>
              <w:t>of support:</w:t>
            </w:r>
          </w:p>
          <w:p w14:paraId="735C64C0" w14:textId="24F1A665" w:rsidR="007862E3" w:rsidRPr="003A6FC9" w:rsidRDefault="007862E3" w:rsidP="00D02D53">
            <w:pPr>
              <w:pStyle w:val="ListParagraph"/>
              <w:numPr>
                <w:ilvl w:val="0"/>
                <w:numId w:val="24"/>
              </w:numPr>
              <w:jc w:val="both"/>
              <w:rPr>
                <w:lang w:val="en-GB"/>
              </w:rPr>
            </w:pPr>
            <w:r w:rsidRPr="005E2F5C">
              <w:rPr>
                <w:color w:val="000000"/>
                <w:lang w:val="en-GB" w:eastAsia="en-GB"/>
              </w:rPr>
              <w:t>Strengthened democratic culture and civic awareness;</w:t>
            </w:r>
            <w:r>
              <w:rPr>
                <w:color w:val="000000"/>
                <w:lang w:val="en-GB" w:eastAsia="en-GB"/>
              </w:rPr>
              <w:t xml:space="preserve"> and/or</w:t>
            </w:r>
          </w:p>
          <w:p w14:paraId="6155854B" w14:textId="47E5E0F0" w:rsidR="007862E3" w:rsidRPr="007862E3" w:rsidRDefault="007862E3" w:rsidP="00D02D53">
            <w:pPr>
              <w:pStyle w:val="ListParagraph"/>
              <w:numPr>
                <w:ilvl w:val="0"/>
                <w:numId w:val="24"/>
              </w:numPr>
              <w:jc w:val="both"/>
              <w:rPr>
                <w:lang w:val="en-GB"/>
              </w:rPr>
            </w:pPr>
            <w:r w:rsidRPr="005E2F5C">
              <w:rPr>
                <w:color w:val="000000"/>
                <w:lang w:val="en-GB" w:eastAsia="en-GB"/>
              </w:rPr>
              <w:t>Increased support for human rights (and equal treatment)</w:t>
            </w:r>
          </w:p>
        </w:tc>
        <w:tc>
          <w:tcPr>
            <w:tcW w:w="1129" w:type="dxa"/>
          </w:tcPr>
          <w:p w14:paraId="28E78AEE" w14:textId="4B6B2BF5" w:rsidR="00A547C1" w:rsidRDefault="00A547C1" w:rsidP="00D02D53">
            <w:pPr>
              <w:jc w:val="both"/>
              <w:rPr>
                <w:lang w:val="en-GB"/>
              </w:rPr>
            </w:pPr>
            <w:r w:rsidRPr="00EA50B4">
              <w:rPr>
                <w:lang w:val="en-GB"/>
              </w:rPr>
              <w:t>Yes/no</w:t>
            </w:r>
          </w:p>
        </w:tc>
      </w:tr>
      <w:tr w:rsidR="00A547C1" w14:paraId="02BB00DF" w14:textId="77777777" w:rsidTr="00C22CEA">
        <w:tc>
          <w:tcPr>
            <w:tcW w:w="562" w:type="dxa"/>
          </w:tcPr>
          <w:p w14:paraId="2FADDB4F" w14:textId="4092BE68" w:rsidR="00A547C1" w:rsidRDefault="007862E3" w:rsidP="00D02D53">
            <w:pPr>
              <w:jc w:val="both"/>
              <w:rPr>
                <w:lang w:val="en-GB"/>
              </w:rPr>
            </w:pPr>
            <w:r>
              <w:rPr>
                <w:lang w:val="en-GB"/>
              </w:rPr>
              <w:lastRenderedPageBreak/>
              <w:t>5.</w:t>
            </w:r>
          </w:p>
        </w:tc>
        <w:tc>
          <w:tcPr>
            <w:tcW w:w="7371" w:type="dxa"/>
          </w:tcPr>
          <w:p w14:paraId="3BC32251" w14:textId="3563883D" w:rsidR="00A547C1" w:rsidRDefault="007862E3" w:rsidP="00D02D53">
            <w:pPr>
              <w:jc w:val="both"/>
              <w:rPr>
                <w:lang w:val="en-GB"/>
              </w:rPr>
            </w:pPr>
            <w:r>
              <w:rPr>
                <w:lang w:val="en-GB"/>
              </w:rPr>
              <w:t xml:space="preserve">Multi-year strategy and/or workplan includes advocacy and watchdog activities </w:t>
            </w:r>
          </w:p>
        </w:tc>
        <w:tc>
          <w:tcPr>
            <w:tcW w:w="1129" w:type="dxa"/>
          </w:tcPr>
          <w:p w14:paraId="4808553E" w14:textId="69822D85" w:rsidR="00A547C1" w:rsidRDefault="00A547C1" w:rsidP="00D02D53">
            <w:pPr>
              <w:jc w:val="both"/>
              <w:rPr>
                <w:lang w:val="en-GB"/>
              </w:rPr>
            </w:pPr>
            <w:r w:rsidRPr="00EA50B4">
              <w:rPr>
                <w:lang w:val="en-GB"/>
              </w:rPr>
              <w:t>Yes/no</w:t>
            </w:r>
          </w:p>
        </w:tc>
      </w:tr>
      <w:tr w:rsidR="00A547C1" w14:paraId="220C18C8" w14:textId="77777777" w:rsidTr="00C22CEA">
        <w:tc>
          <w:tcPr>
            <w:tcW w:w="562" w:type="dxa"/>
          </w:tcPr>
          <w:p w14:paraId="5B1D1A37" w14:textId="6BA037BA" w:rsidR="00A547C1" w:rsidRDefault="007862E3" w:rsidP="00D02D53">
            <w:pPr>
              <w:jc w:val="both"/>
              <w:rPr>
                <w:lang w:val="en-GB"/>
              </w:rPr>
            </w:pPr>
            <w:r>
              <w:rPr>
                <w:lang w:val="en-GB"/>
              </w:rPr>
              <w:t>6.</w:t>
            </w:r>
          </w:p>
        </w:tc>
        <w:tc>
          <w:tcPr>
            <w:tcW w:w="7371" w:type="dxa"/>
          </w:tcPr>
          <w:p w14:paraId="06839A76" w14:textId="660DAAEF" w:rsidR="00A547C1" w:rsidRDefault="007862E3" w:rsidP="00D02D53">
            <w:pPr>
              <w:jc w:val="both"/>
              <w:rPr>
                <w:lang w:val="en-GB"/>
              </w:rPr>
            </w:pPr>
            <w:r>
              <w:rPr>
                <w:lang w:val="en-GB"/>
              </w:rPr>
              <w:t>The applicant has open and transparent management structure</w:t>
            </w:r>
          </w:p>
        </w:tc>
        <w:tc>
          <w:tcPr>
            <w:tcW w:w="1129" w:type="dxa"/>
          </w:tcPr>
          <w:p w14:paraId="01C94942" w14:textId="42192726" w:rsidR="00A547C1" w:rsidRDefault="00A547C1" w:rsidP="00D02D53">
            <w:pPr>
              <w:jc w:val="both"/>
              <w:rPr>
                <w:lang w:val="en-GB"/>
              </w:rPr>
            </w:pPr>
            <w:r w:rsidRPr="00EA50B4">
              <w:rPr>
                <w:lang w:val="en-GB"/>
              </w:rPr>
              <w:t>Yes/no</w:t>
            </w:r>
          </w:p>
        </w:tc>
      </w:tr>
    </w:tbl>
    <w:p w14:paraId="026B3264" w14:textId="77777777" w:rsidR="00551C78" w:rsidRPr="00551C78" w:rsidRDefault="00551C78" w:rsidP="00D02D53">
      <w:pPr>
        <w:jc w:val="both"/>
        <w:rPr>
          <w:lang w:val="en-GB"/>
        </w:rPr>
      </w:pPr>
    </w:p>
    <w:p w14:paraId="7731F461" w14:textId="77777777" w:rsidR="0057751B" w:rsidRPr="0057751B" w:rsidRDefault="0057751B" w:rsidP="00D02D53">
      <w:pPr>
        <w:jc w:val="both"/>
        <w:rPr>
          <w:lang w:val="en-GB"/>
        </w:rPr>
      </w:pPr>
      <w:r>
        <w:rPr>
          <w:lang w:val="en-GB"/>
        </w:rPr>
        <w:t xml:space="preserve">If an applicant does not meet any of </w:t>
      </w:r>
      <w:r w:rsidR="00416ED4">
        <w:rPr>
          <w:lang w:val="en-GB"/>
        </w:rPr>
        <w:t xml:space="preserve">these requirements, the application is rejected without further evaluation. </w:t>
      </w:r>
      <w:r w:rsidR="007A38CE">
        <w:rPr>
          <w:lang w:val="en-GB"/>
        </w:rPr>
        <w:t xml:space="preserve">Applicants whose applications have been rejected, may submit an appeal </w:t>
      </w:r>
      <w:r w:rsidR="00D026EE">
        <w:rPr>
          <w:lang w:val="en-GB"/>
        </w:rPr>
        <w:t>within 5 working days to the Complaints Committee established by the Fund Operator.</w:t>
      </w:r>
    </w:p>
    <w:p w14:paraId="7D59238B" w14:textId="10A4EA67" w:rsidR="006578BA" w:rsidRPr="009919F3" w:rsidRDefault="006578BA" w:rsidP="00D02D53">
      <w:pPr>
        <w:jc w:val="both"/>
        <w:rPr>
          <w:lang w:val="en-GB"/>
        </w:rPr>
      </w:pPr>
      <w:r w:rsidRPr="009919F3">
        <w:rPr>
          <w:lang w:val="en-GB"/>
        </w:rPr>
        <w:t xml:space="preserve">The </w:t>
      </w:r>
      <w:r w:rsidR="004767E9">
        <w:rPr>
          <w:lang w:val="en-GB"/>
        </w:rPr>
        <w:t>OEF</w:t>
      </w:r>
      <w:r w:rsidRPr="009919F3">
        <w:rPr>
          <w:lang w:val="en-GB"/>
        </w:rPr>
        <w:t xml:space="preserve"> may ask for additional information from the applicant in case of doubt whether any of the eligibility criteria above have been met.</w:t>
      </w:r>
    </w:p>
    <w:p w14:paraId="2820B724" w14:textId="284E01BC" w:rsidR="006578BA" w:rsidRPr="009919F3" w:rsidRDefault="006578BA" w:rsidP="00D02D53">
      <w:pPr>
        <w:jc w:val="both"/>
        <w:rPr>
          <w:lang w:val="en-GB"/>
        </w:rPr>
      </w:pPr>
      <w:r w:rsidRPr="009919F3">
        <w:rPr>
          <w:lang w:val="en-GB"/>
        </w:rPr>
        <w:t xml:space="preserve">In case of clerical mistakes in the project </w:t>
      </w:r>
      <w:r w:rsidR="00985AB9">
        <w:rPr>
          <w:lang w:val="en-GB"/>
        </w:rPr>
        <w:t>application, annexes</w:t>
      </w:r>
      <w:r w:rsidRPr="009919F3">
        <w:rPr>
          <w:lang w:val="en-GB"/>
        </w:rPr>
        <w:t xml:space="preserve"> </w:t>
      </w:r>
      <w:r w:rsidRPr="00ED4AB3">
        <w:rPr>
          <w:lang w:val="en-GB"/>
        </w:rPr>
        <w:t xml:space="preserve">or </w:t>
      </w:r>
      <w:r w:rsidR="004767E9" w:rsidRPr="00ED4AB3">
        <w:rPr>
          <w:lang w:val="en-GB"/>
        </w:rPr>
        <w:t>missing</w:t>
      </w:r>
      <w:r w:rsidR="004767E9">
        <w:rPr>
          <w:lang w:val="en-GB"/>
        </w:rPr>
        <w:t xml:space="preserve"> </w:t>
      </w:r>
      <w:r w:rsidRPr="009919F3">
        <w:rPr>
          <w:lang w:val="en-GB"/>
        </w:rPr>
        <w:t xml:space="preserve">accompanying documents, </w:t>
      </w:r>
      <w:r w:rsidR="009920D0" w:rsidRPr="00AD35F0">
        <w:rPr>
          <w:lang w:val="en-GB"/>
        </w:rPr>
        <w:t xml:space="preserve">detected during the administrative or eligibility check, </w:t>
      </w:r>
      <w:r w:rsidRPr="00AD35F0">
        <w:rPr>
          <w:lang w:val="en-GB"/>
        </w:rPr>
        <w:t>the applicant is given 3 working days to</w:t>
      </w:r>
      <w:r w:rsidRPr="009919F3">
        <w:rPr>
          <w:lang w:val="en-GB"/>
        </w:rPr>
        <w:t xml:space="preserve"> correct the mistakes and re-submit the document</w:t>
      </w:r>
      <w:r w:rsidR="00985AB9">
        <w:rPr>
          <w:lang w:val="en-GB"/>
        </w:rPr>
        <w:t>(s)</w:t>
      </w:r>
      <w:r w:rsidRPr="009919F3">
        <w:rPr>
          <w:lang w:val="en-GB"/>
        </w:rPr>
        <w:t xml:space="preserve"> in question. After re-submission of the document</w:t>
      </w:r>
      <w:r w:rsidR="00985AB9">
        <w:rPr>
          <w:lang w:val="en-GB"/>
        </w:rPr>
        <w:t>(s)</w:t>
      </w:r>
      <w:r w:rsidRPr="009919F3">
        <w:rPr>
          <w:lang w:val="en-GB"/>
        </w:rPr>
        <w:t xml:space="preserve"> the administrative and/or eligibility check is repeated.</w:t>
      </w:r>
    </w:p>
    <w:p w14:paraId="555C9A3C" w14:textId="0A6C44BC" w:rsidR="006578BA" w:rsidRPr="009919F3" w:rsidRDefault="006578BA" w:rsidP="00D02D53">
      <w:pPr>
        <w:jc w:val="both"/>
        <w:rPr>
          <w:lang w:val="en-GB"/>
        </w:rPr>
      </w:pPr>
      <w:r w:rsidRPr="009919F3">
        <w:rPr>
          <w:lang w:val="en-GB"/>
        </w:rPr>
        <w:t>Once the administrative and eligibility review has been completed, the applicants whose applications have been rejected are notified of the decision of the</w:t>
      </w:r>
      <w:r w:rsidR="00D744C6">
        <w:rPr>
          <w:lang w:val="en-GB"/>
        </w:rPr>
        <w:t xml:space="preserve"> OEF</w:t>
      </w:r>
      <w:r w:rsidRPr="009919F3">
        <w:rPr>
          <w:lang w:val="en-GB"/>
        </w:rPr>
        <w:t xml:space="preserve"> and are informed of the reasons for the rejection. In case the applicants are not satisfied with the explanation provided by the </w:t>
      </w:r>
      <w:r w:rsidR="00D744C6">
        <w:rPr>
          <w:lang w:val="en-GB"/>
        </w:rPr>
        <w:t>OEF</w:t>
      </w:r>
      <w:r w:rsidRPr="009919F3">
        <w:rPr>
          <w:lang w:val="en-GB"/>
        </w:rPr>
        <w:t>, they may submit an appeal within 5 working days to the Complaints Committee established by the Fund Operator.</w:t>
      </w:r>
    </w:p>
    <w:p w14:paraId="5C95D938" w14:textId="02B46F1B" w:rsidR="006578BA" w:rsidRPr="00D744C6" w:rsidRDefault="006578BA" w:rsidP="00D02D53">
      <w:pPr>
        <w:pStyle w:val="Heading2"/>
        <w:jc w:val="both"/>
      </w:pPr>
      <w:r w:rsidRPr="00D744C6">
        <w:t>Evaluation of applications by independent experts</w:t>
      </w:r>
    </w:p>
    <w:p w14:paraId="1D007609" w14:textId="0D1349F4" w:rsidR="0016635D" w:rsidRPr="009919F3" w:rsidRDefault="0016635D" w:rsidP="00D02D53">
      <w:pPr>
        <w:jc w:val="both"/>
        <w:rPr>
          <w:lang w:val="en-GB"/>
        </w:rPr>
      </w:pPr>
      <w:r w:rsidRPr="009919F3">
        <w:rPr>
          <w:lang w:val="en-GB"/>
        </w:rPr>
        <w:t>Each application is reviewed independently and separately by two experts</w:t>
      </w:r>
      <w:r>
        <w:rPr>
          <w:lang w:val="en-GB"/>
        </w:rPr>
        <w:t xml:space="preserve"> </w:t>
      </w:r>
      <w:r w:rsidRPr="005E2F5C">
        <w:rPr>
          <w:lang w:val="en-GB"/>
        </w:rPr>
        <w:t>a</w:t>
      </w:r>
      <w:r w:rsidR="00207D15">
        <w:rPr>
          <w:lang w:val="en-GB"/>
        </w:rPr>
        <w:t>gainst</w:t>
      </w:r>
      <w:r>
        <w:rPr>
          <w:lang w:val="en-GB"/>
        </w:rPr>
        <w:t xml:space="preserve"> the evaluation cri</w:t>
      </w:r>
      <w:r w:rsidR="004369D4">
        <w:rPr>
          <w:lang w:val="en-GB"/>
        </w:rPr>
        <w:t xml:space="preserve">teria </w:t>
      </w:r>
      <w:r w:rsidR="00E87282">
        <w:rPr>
          <w:lang w:val="en-GB"/>
        </w:rPr>
        <w:t>described below</w:t>
      </w:r>
      <w:r w:rsidRPr="009919F3">
        <w:rPr>
          <w:lang w:val="en-GB"/>
        </w:rPr>
        <w:t xml:space="preserve">. </w:t>
      </w:r>
    </w:p>
    <w:p w14:paraId="0AB13BB2" w14:textId="77777777" w:rsidR="00C46FF1" w:rsidRPr="005E2F5C" w:rsidRDefault="00C46FF1" w:rsidP="00D02D53">
      <w:pPr>
        <w:jc w:val="both"/>
        <w:rPr>
          <w:lang w:val="en-GB"/>
        </w:rPr>
      </w:pPr>
      <w:r w:rsidRPr="005E2F5C">
        <w:rPr>
          <w:lang w:val="en-GB"/>
        </w:rPr>
        <w:t xml:space="preserve">In case the difference between the scores given by the two experts is more than 30% of the higher score, the application is reviewed by the third expert. If the score given by a third expert would not in any way result in the support of the project, the third expert will not be commissioned. </w:t>
      </w:r>
    </w:p>
    <w:p w14:paraId="1401233B" w14:textId="77777777" w:rsidR="00C46FF1" w:rsidRPr="005E2F5C" w:rsidRDefault="00C46FF1" w:rsidP="00D02D53">
      <w:pPr>
        <w:jc w:val="both"/>
        <w:rPr>
          <w:lang w:val="en-GB"/>
        </w:rPr>
      </w:pPr>
    </w:p>
    <w:p w14:paraId="74653E3C" w14:textId="7FBE97B2" w:rsidR="00056127" w:rsidRDefault="0016635D" w:rsidP="00D02D53">
      <w:pPr>
        <w:jc w:val="both"/>
        <w:rPr>
          <w:lang w:val="en-GB"/>
        </w:rPr>
      </w:pPr>
      <w:r w:rsidRPr="009919F3">
        <w:rPr>
          <w:lang w:val="en-GB"/>
        </w:rPr>
        <w:t>The average scores awarded by the experts are used to establish the ranking list of project applications</w:t>
      </w:r>
      <w:r w:rsidR="00056127">
        <w:rPr>
          <w:lang w:val="en-GB"/>
        </w:rPr>
        <w:t xml:space="preserve">. </w:t>
      </w:r>
      <w:r w:rsidR="007927B3">
        <w:rPr>
          <w:lang w:val="en-GB"/>
        </w:rPr>
        <w:t xml:space="preserve">A minimum score of the project application needed to be recommendable for funding is </w:t>
      </w:r>
      <w:r w:rsidR="007927B3">
        <w:rPr>
          <w:u w:val="single"/>
          <w:lang w:val="en-GB"/>
        </w:rPr>
        <w:t>70</w:t>
      </w:r>
      <w:r w:rsidR="007927B3">
        <w:rPr>
          <w:lang w:val="en-GB"/>
        </w:rPr>
        <w:t xml:space="preserve"> (out of 100). </w:t>
      </w:r>
    </w:p>
    <w:p w14:paraId="03324361" w14:textId="77777777" w:rsidR="00C46FF1" w:rsidRDefault="00C46FF1" w:rsidP="00D02D53">
      <w:pPr>
        <w:jc w:val="both"/>
        <w:rPr>
          <w:lang w:val="en-GB"/>
        </w:rPr>
      </w:pPr>
    </w:p>
    <w:p w14:paraId="17E01C4F" w14:textId="644C1E0F" w:rsidR="00C46FF1" w:rsidRPr="00DB787C" w:rsidRDefault="00283DD2" w:rsidP="00D02D53">
      <w:pPr>
        <w:jc w:val="both"/>
        <w:rPr>
          <w:b/>
          <w:bCs/>
          <w:lang w:val="en-GB"/>
        </w:rPr>
      </w:pPr>
      <w:r w:rsidRPr="00DB787C">
        <w:rPr>
          <w:b/>
          <w:bCs/>
          <w:lang w:val="en-GB"/>
        </w:rPr>
        <w:t xml:space="preserve">Evaluation criteria of </w:t>
      </w:r>
      <w:r w:rsidR="000D0863" w:rsidRPr="00DB787C">
        <w:rPr>
          <w:b/>
          <w:bCs/>
          <w:lang w:val="en-GB"/>
        </w:rPr>
        <w:t>institutional grants</w:t>
      </w:r>
      <w:r w:rsidR="00A06B36" w:rsidRPr="00DB787C">
        <w:rPr>
          <w:b/>
          <w:bCs/>
          <w:lang w:val="en-GB"/>
        </w:rPr>
        <w:t xml:space="preserve"> (maximum score 100)</w:t>
      </w:r>
    </w:p>
    <w:tbl>
      <w:tblPr>
        <w:tblStyle w:val="TableGrid"/>
        <w:tblW w:w="0" w:type="auto"/>
        <w:tblLook w:val="04A0" w:firstRow="1" w:lastRow="0" w:firstColumn="1" w:lastColumn="0" w:noHBand="0" w:noVBand="1"/>
      </w:tblPr>
      <w:tblGrid>
        <w:gridCol w:w="7650"/>
        <w:gridCol w:w="1412"/>
      </w:tblGrid>
      <w:tr w:rsidR="00DB4A69" w:rsidRPr="00DB17A1" w14:paraId="5DF95007" w14:textId="77777777" w:rsidTr="00687410">
        <w:tc>
          <w:tcPr>
            <w:tcW w:w="7650" w:type="dxa"/>
          </w:tcPr>
          <w:p w14:paraId="31212180" w14:textId="393F98AB" w:rsidR="00DB4A69" w:rsidRPr="00DB17A1" w:rsidRDefault="00DB4A69" w:rsidP="00D02D53">
            <w:pPr>
              <w:jc w:val="both"/>
              <w:rPr>
                <w:b/>
                <w:bCs/>
                <w:i/>
                <w:iCs/>
                <w:lang w:val="en-GB"/>
              </w:rPr>
            </w:pPr>
            <w:r w:rsidRPr="00DB17A1">
              <w:rPr>
                <w:b/>
                <w:bCs/>
                <w:i/>
                <w:iCs/>
                <w:lang w:val="en-GB"/>
              </w:rPr>
              <w:t>Quality of the multi-annual strategy or/and workplan</w:t>
            </w:r>
          </w:p>
        </w:tc>
        <w:tc>
          <w:tcPr>
            <w:tcW w:w="1412" w:type="dxa"/>
          </w:tcPr>
          <w:p w14:paraId="5F0F032A" w14:textId="7AFCB1C1" w:rsidR="00DB4A69" w:rsidRPr="00DB17A1" w:rsidRDefault="00DB4A69" w:rsidP="00D02D53">
            <w:pPr>
              <w:jc w:val="both"/>
              <w:rPr>
                <w:b/>
                <w:bCs/>
                <w:i/>
                <w:iCs/>
                <w:lang w:val="en-GB"/>
              </w:rPr>
            </w:pPr>
            <w:r>
              <w:rPr>
                <w:b/>
                <w:bCs/>
                <w:i/>
                <w:iCs/>
                <w:lang w:val="en-GB"/>
              </w:rPr>
              <w:t>/20</w:t>
            </w:r>
          </w:p>
        </w:tc>
      </w:tr>
      <w:tr w:rsidR="00DB4A69" w:rsidRPr="00DB17A1" w14:paraId="4F9F9DCB" w14:textId="77777777" w:rsidTr="00687410">
        <w:tc>
          <w:tcPr>
            <w:tcW w:w="7650" w:type="dxa"/>
          </w:tcPr>
          <w:p w14:paraId="572961E3" w14:textId="7AE66BF1" w:rsidR="00DB4A69" w:rsidRPr="00DB17A1" w:rsidRDefault="00DB4A69" w:rsidP="00D02D53">
            <w:pPr>
              <w:jc w:val="both"/>
              <w:rPr>
                <w:b/>
                <w:bCs/>
                <w:i/>
                <w:iCs/>
                <w:lang w:val="en-GB"/>
              </w:rPr>
            </w:pPr>
            <w:r>
              <w:rPr>
                <w:lang w:val="en-GB"/>
              </w:rPr>
              <w:t>To what extent does the multi-annual strategy and/or workplan identify clear and measurable objectives (results), indicators and targets?</w:t>
            </w:r>
          </w:p>
        </w:tc>
        <w:tc>
          <w:tcPr>
            <w:tcW w:w="1412" w:type="dxa"/>
          </w:tcPr>
          <w:p w14:paraId="699D38F9" w14:textId="3553CDBB" w:rsidR="00DB4A69" w:rsidRPr="004A2B03" w:rsidRDefault="00DB4A69" w:rsidP="00D02D53">
            <w:pPr>
              <w:jc w:val="both"/>
              <w:rPr>
                <w:lang w:val="en-GB"/>
              </w:rPr>
            </w:pPr>
            <w:r w:rsidRPr="004A2B03">
              <w:rPr>
                <w:lang w:val="en-GB"/>
              </w:rPr>
              <w:t>/10</w:t>
            </w:r>
          </w:p>
        </w:tc>
      </w:tr>
      <w:tr w:rsidR="00C77EA8" w:rsidRPr="00DB17A1" w14:paraId="2B78D653" w14:textId="77777777" w:rsidTr="00687410">
        <w:tc>
          <w:tcPr>
            <w:tcW w:w="7650" w:type="dxa"/>
          </w:tcPr>
          <w:p w14:paraId="30D1C898" w14:textId="14543803" w:rsidR="00C77EA8" w:rsidRPr="004C1B97" w:rsidRDefault="00C77EA8" w:rsidP="00D02D53">
            <w:pPr>
              <w:jc w:val="both"/>
              <w:rPr>
                <w:i/>
                <w:iCs/>
                <w:lang w:val="en-GB"/>
              </w:rPr>
            </w:pPr>
            <w:r>
              <w:rPr>
                <w:lang w:val="en-GB"/>
              </w:rPr>
              <w:t>Potential impact of the grant in bringing about long-term and systemic change / prospective results of the grant</w:t>
            </w:r>
          </w:p>
        </w:tc>
        <w:tc>
          <w:tcPr>
            <w:tcW w:w="1412" w:type="dxa"/>
          </w:tcPr>
          <w:p w14:paraId="7B093666" w14:textId="2EB66189" w:rsidR="00C77EA8" w:rsidRPr="004A2B03" w:rsidRDefault="00C77EA8" w:rsidP="00D02D53">
            <w:pPr>
              <w:jc w:val="both"/>
              <w:rPr>
                <w:lang w:val="en-GB"/>
              </w:rPr>
            </w:pPr>
            <w:r w:rsidRPr="004A2B03">
              <w:rPr>
                <w:lang w:val="en-GB"/>
              </w:rPr>
              <w:t>/</w:t>
            </w:r>
            <w:r w:rsidR="00FE5731">
              <w:rPr>
                <w:lang w:val="en-GB"/>
              </w:rPr>
              <w:t>10</w:t>
            </w:r>
          </w:p>
        </w:tc>
      </w:tr>
      <w:tr w:rsidR="00CE3DC2" w:rsidRPr="00DB17A1" w14:paraId="06611E92" w14:textId="77777777" w:rsidTr="00687410">
        <w:tc>
          <w:tcPr>
            <w:tcW w:w="7650" w:type="dxa"/>
          </w:tcPr>
          <w:p w14:paraId="4E1D4400" w14:textId="150AA989" w:rsidR="00CE3DC2" w:rsidRPr="00DB17A1" w:rsidRDefault="00735E18" w:rsidP="00D02D53">
            <w:pPr>
              <w:jc w:val="both"/>
              <w:rPr>
                <w:b/>
                <w:bCs/>
                <w:i/>
                <w:iCs/>
                <w:lang w:val="en-GB"/>
              </w:rPr>
            </w:pPr>
            <w:r w:rsidRPr="00DB17A1">
              <w:rPr>
                <w:b/>
                <w:bCs/>
                <w:i/>
                <w:iCs/>
                <w:lang w:val="en-GB"/>
              </w:rPr>
              <w:t>Relevance</w:t>
            </w:r>
            <w:r w:rsidR="00654C06" w:rsidRPr="00DB17A1">
              <w:rPr>
                <w:b/>
                <w:bCs/>
                <w:i/>
                <w:iCs/>
                <w:lang w:val="en-GB"/>
              </w:rPr>
              <w:t xml:space="preserve"> of the multi-annual strategy or/and workplan</w:t>
            </w:r>
          </w:p>
        </w:tc>
        <w:tc>
          <w:tcPr>
            <w:tcW w:w="1412" w:type="dxa"/>
          </w:tcPr>
          <w:p w14:paraId="53C6A2D1" w14:textId="09BC6CAB" w:rsidR="00CE3DC2" w:rsidRPr="00DB17A1" w:rsidRDefault="007A2037" w:rsidP="00D02D53">
            <w:pPr>
              <w:jc w:val="both"/>
              <w:rPr>
                <w:b/>
                <w:bCs/>
                <w:i/>
                <w:iCs/>
                <w:lang w:val="en-GB"/>
              </w:rPr>
            </w:pPr>
            <w:r w:rsidRPr="00DB17A1">
              <w:rPr>
                <w:b/>
                <w:bCs/>
                <w:i/>
                <w:iCs/>
                <w:lang w:val="en-GB"/>
              </w:rPr>
              <w:t>/2</w:t>
            </w:r>
            <w:r w:rsidR="00B7156E">
              <w:rPr>
                <w:b/>
                <w:bCs/>
                <w:i/>
                <w:iCs/>
                <w:lang w:val="en-GB"/>
              </w:rPr>
              <w:t>0</w:t>
            </w:r>
          </w:p>
        </w:tc>
      </w:tr>
      <w:tr w:rsidR="00CE3DC2" w14:paraId="76CB2B8A" w14:textId="77777777" w:rsidTr="00687410">
        <w:tc>
          <w:tcPr>
            <w:tcW w:w="7650" w:type="dxa"/>
          </w:tcPr>
          <w:p w14:paraId="56DE7711" w14:textId="2D5D94F1" w:rsidR="00CE3DC2" w:rsidRDefault="00A24542" w:rsidP="00D02D53">
            <w:pPr>
              <w:jc w:val="both"/>
              <w:rPr>
                <w:lang w:val="en-GB"/>
              </w:rPr>
            </w:pPr>
            <w:r>
              <w:rPr>
                <w:lang w:val="en-GB"/>
              </w:rPr>
              <w:t xml:space="preserve">To what extent is the multi-annual strategy </w:t>
            </w:r>
            <w:r w:rsidR="00D66252">
              <w:rPr>
                <w:lang w:val="en-GB"/>
              </w:rPr>
              <w:t xml:space="preserve">or/and workplan relevant </w:t>
            </w:r>
            <w:r w:rsidR="002E7D96">
              <w:rPr>
                <w:lang w:val="en-GB"/>
              </w:rPr>
              <w:t xml:space="preserve">for ACF (to what extent does it target </w:t>
            </w:r>
            <w:r w:rsidR="00EA685E">
              <w:rPr>
                <w:lang w:val="en-GB"/>
              </w:rPr>
              <w:t>ACF’s results framework)</w:t>
            </w:r>
          </w:p>
        </w:tc>
        <w:tc>
          <w:tcPr>
            <w:tcW w:w="1412" w:type="dxa"/>
          </w:tcPr>
          <w:p w14:paraId="2F8AB193" w14:textId="3AC472EA" w:rsidR="00CE3DC2" w:rsidRPr="004A2B03" w:rsidRDefault="00EA685E" w:rsidP="00D02D53">
            <w:pPr>
              <w:jc w:val="both"/>
              <w:rPr>
                <w:lang w:val="en-GB"/>
              </w:rPr>
            </w:pPr>
            <w:r w:rsidRPr="004A2B03">
              <w:rPr>
                <w:lang w:val="en-GB"/>
              </w:rPr>
              <w:t>/1</w:t>
            </w:r>
            <w:r w:rsidR="008263B0" w:rsidRPr="004A2B03">
              <w:rPr>
                <w:lang w:val="en-GB"/>
              </w:rPr>
              <w:t>0</w:t>
            </w:r>
          </w:p>
        </w:tc>
      </w:tr>
      <w:tr w:rsidR="00C85B2E" w14:paraId="698796D7" w14:textId="77777777" w:rsidTr="00687410">
        <w:tc>
          <w:tcPr>
            <w:tcW w:w="7650" w:type="dxa"/>
          </w:tcPr>
          <w:p w14:paraId="088EEBE0" w14:textId="1DEC8BDF" w:rsidR="00C85B2E" w:rsidRPr="00634CA2" w:rsidRDefault="00C85B2E" w:rsidP="00D02D53">
            <w:pPr>
              <w:jc w:val="both"/>
              <w:rPr>
                <w:lang w:val="en-GB"/>
              </w:rPr>
            </w:pPr>
            <w:r w:rsidRPr="00634CA2">
              <w:rPr>
                <w:lang w:val="en-GB"/>
              </w:rPr>
              <w:t>To what extent is the multi-annual strategy and/or workplan relevant to the missio</w:t>
            </w:r>
            <w:r w:rsidR="00C74643" w:rsidRPr="00634CA2">
              <w:rPr>
                <w:lang w:val="en-GB"/>
              </w:rPr>
              <w:t>n and general strategy of the applicant</w:t>
            </w:r>
          </w:p>
        </w:tc>
        <w:tc>
          <w:tcPr>
            <w:tcW w:w="1412" w:type="dxa"/>
          </w:tcPr>
          <w:p w14:paraId="6DFBA220" w14:textId="2E9A7D4F" w:rsidR="00C85B2E" w:rsidRPr="00634CA2" w:rsidRDefault="00C74643" w:rsidP="00D02D53">
            <w:pPr>
              <w:jc w:val="both"/>
              <w:rPr>
                <w:lang w:val="en-GB"/>
              </w:rPr>
            </w:pPr>
            <w:r w:rsidRPr="00634CA2">
              <w:rPr>
                <w:lang w:val="en-GB"/>
              </w:rPr>
              <w:t>/5</w:t>
            </w:r>
          </w:p>
        </w:tc>
      </w:tr>
      <w:tr w:rsidR="00CE3DC2" w14:paraId="72AA0B53" w14:textId="77777777" w:rsidTr="00687410">
        <w:tc>
          <w:tcPr>
            <w:tcW w:w="7650" w:type="dxa"/>
          </w:tcPr>
          <w:p w14:paraId="6B5256D9" w14:textId="0571CAE2" w:rsidR="00CE3DC2" w:rsidRPr="00634CA2" w:rsidRDefault="001D7E15" w:rsidP="00D02D53">
            <w:pPr>
              <w:jc w:val="both"/>
              <w:rPr>
                <w:lang w:val="en-GB"/>
              </w:rPr>
            </w:pPr>
            <w:r w:rsidRPr="00634CA2">
              <w:rPr>
                <w:lang w:val="en-GB"/>
              </w:rPr>
              <w:t xml:space="preserve">To what extent does the applicant engage in advocacy and watchdog activities based on </w:t>
            </w:r>
            <w:r w:rsidR="00144DEE" w:rsidRPr="00634CA2">
              <w:rPr>
                <w:lang w:val="en-GB"/>
              </w:rPr>
              <w:t>the multi-annual strategy and</w:t>
            </w:r>
            <w:r w:rsidR="004A2B03" w:rsidRPr="00634CA2">
              <w:rPr>
                <w:lang w:val="en-GB"/>
              </w:rPr>
              <w:t>/or</w:t>
            </w:r>
            <w:r w:rsidR="00144DEE" w:rsidRPr="00634CA2">
              <w:rPr>
                <w:lang w:val="en-GB"/>
              </w:rPr>
              <w:t xml:space="preserve"> workplan</w:t>
            </w:r>
          </w:p>
        </w:tc>
        <w:tc>
          <w:tcPr>
            <w:tcW w:w="1412" w:type="dxa"/>
          </w:tcPr>
          <w:p w14:paraId="50DABDA4" w14:textId="2E8CBC5A" w:rsidR="00CE3DC2" w:rsidRPr="00634CA2" w:rsidRDefault="00144DEE" w:rsidP="00D02D53">
            <w:pPr>
              <w:jc w:val="both"/>
              <w:rPr>
                <w:lang w:val="en-GB"/>
              </w:rPr>
            </w:pPr>
            <w:r w:rsidRPr="00634CA2">
              <w:rPr>
                <w:lang w:val="en-GB"/>
              </w:rPr>
              <w:t>/</w:t>
            </w:r>
            <w:r w:rsidR="00C85B2E" w:rsidRPr="00634CA2">
              <w:rPr>
                <w:lang w:val="en-GB"/>
              </w:rPr>
              <w:t>5</w:t>
            </w:r>
          </w:p>
        </w:tc>
      </w:tr>
      <w:tr w:rsidR="009351F1" w:rsidRPr="0005634B" w14:paraId="2CF41912" w14:textId="77777777" w:rsidTr="00BB1A3F">
        <w:tc>
          <w:tcPr>
            <w:tcW w:w="7650" w:type="dxa"/>
          </w:tcPr>
          <w:p w14:paraId="1AC9BA8B" w14:textId="77777777" w:rsidR="009351F1" w:rsidRPr="00634CA2" w:rsidRDefault="009351F1" w:rsidP="00D02D53">
            <w:pPr>
              <w:jc w:val="both"/>
              <w:rPr>
                <w:b/>
                <w:bCs/>
                <w:i/>
                <w:iCs/>
                <w:lang w:val="en-GB"/>
              </w:rPr>
            </w:pPr>
            <w:r w:rsidRPr="00634CA2">
              <w:rPr>
                <w:b/>
                <w:bCs/>
                <w:i/>
                <w:iCs/>
                <w:lang w:val="en-GB"/>
              </w:rPr>
              <w:lastRenderedPageBreak/>
              <w:t>Experience of the applicant</w:t>
            </w:r>
          </w:p>
        </w:tc>
        <w:tc>
          <w:tcPr>
            <w:tcW w:w="1412" w:type="dxa"/>
          </w:tcPr>
          <w:p w14:paraId="480618D9" w14:textId="20EABB0F" w:rsidR="009351F1" w:rsidRPr="00634CA2" w:rsidRDefault="009351F1" w:rsidP="00D02D53">
            <w:pPr>
              <w:jc w:val="both"/>
              <w:rPr>
                <w:b/>
                <w:bCs/>
                <w:i/>
                <w:iCs/>
                <w:lang w:val="en-GB"/>
              </w:rPr>
            </w:pPr>
            <w:r w:rsidRPr="00634CA2">
              <w:rPr>
                <w:b/>
                <w:bCs/>
                <w:i/>
                <w:iCs/>
                <w:lang w:val="en-GB"/>
              </w:rPr>
              <w:t>/30</w:t>
            </w:r>
          </w:p>
        </w:tc>
      </w:tr>
      <w:tr w:rsidR="009351F1" w14:paraId="11F61374" w14:textId="77777777" w:rsidTr="00BB1A3F">
        <w:tc>
          <w:tcPr>
            <w:tcW w:w="7650" w:type="dxa"/>
          </w:tcPr>
          <w:p w14:paraId="2B729205" w14:textId="727BED87" w:rsidR="009351F1" w:rsidRPr="00634CA2" w:rsidRDefault="000711C2" w:rsidP="00D02D53">
            <w:pPr>
              <w:jc w:val="both"/>
              <w:rPr>
                <w:lang w:val="en-GB"/>
              </w:rPr>
            </w:pPr>
            <w:r w:rsidRPr="00634CA2">
              <w:rPr>
                <w:lang w:val="en-GB"/>
              </w:rPr>
              <w:t xml:space="preserve">To what extent does the applicant </w:t>
            </w:r>
            <w:r w:rsidR="00FD3C19" w:rsidRPr="00634CA2">
              <w:rPr>
                <w:lang w:val="en-GB"/>
              </w:rPr>
              <w:t xml:space="preserve">have appropriate </w:t>
            </w:r>
            <w:r w:rsidR="0070449A" w:rsidRPr="00634CA2">
              <w:rPr>
                <w:lang w:val="en-GB"/>
              </w:rPr>
              <w:t>organisational</w:t>
            </w:r>
            <w:r w:rsidR="007C7CE7" w:rsidRPr="00634CA2">
              <w:rPr>
                <w:lang w:val="en-GB"/>
              </w:rPr>
              <w:t xml:space="preserve"> capacity and sufficient human resources to implement the multi-annual strategy and/or workplan</w:t>
            </w:r>
            <w:r w:rsidR="00E95C6A" w:rsidRPr="00634CA2">
              <w:rPr>
                <w:lang w:val="en-GB"/>
              </w:rPr>
              <w:t xml:space="preserve"> and capacity building plan</w:t>
            </w:r>
            <w:r w:rsidR="0070449A" w:rsidRPr="00634CA2">
              <w:rPr>
                <w:lang w:val="en-GB"/>
              </w:rPr>
              <w:t xml:space="preserve"> </w:t>
            </w:r>
          </w:p>
        </w:tc>
        <w:tc>
          <w:tcPr>
            <w:tcW w:w="1412" w:type="dxa"/>
          </w:tcPr>
          <w:p w14:paraId="6558926C" w14:textId="129397A8" w:rsidR="009351F1" w:rsidRPr="00634CA2" w:rsidRDefault="009F7787" w:rsidP="00D02D53">
            <w:pPr>
              <w:jc w:val="both"/>
              <w:rPr>
                <w:lang w:val="en-GB"/>
              </w:rPr>
            </w:pPr>
            <w:r w:rsidRPr="00634CA2">
              <w:rPr>
                <w:lang w:val="en-GB"/>
              </w:rPr>
              <w:t>/</w:t>
            </w:r>
            <w:r w:rsidR="00C517E6">
              <w:rPr>
                <w:lang w:val="en-GB"/>
              </w:rPr>
              <w:t>15</w:t>
            </w:r>
          </w:p>
        </w:tc>
      </w:tr>
      <w:tr w:rsidR="009351F1" w14:paraId="1C0903FD" w14:textId="77777777" w:rsidTr="00BB1A3F">
        <w:tc>
          <w:tcPr>
            <w:tcW w:w="7650" w:type="dxa"/>
          </w:tcPr>
          <w:p w14:paraId="2854F0EE" w14:textId="460AF9C1" w:rsidR="009351F1" w:rsidRPr="00634CA2" w:rsidRDefault="00E95C6A" w:rsidP="00D02D53">
            <w:pPr>
              <w:jc w:val="both"/>
              <w:rPr>
                <w:lang w:val="en-GB"/>
              </w:rPr>
            </w:pPr>
            <w:r w:rsidRPr="00634CA2">
              <w:rPr>
                <w:lang w:val="en-GB"/>
              </w:rPr>
              <w:t xml:space="preserve">To what extent is the applicant legitimate </w:t>
            </w:r>
            <w:r w:rsidR="0055717F" w:rsidRPr="00634CA2">
              <w:rPr>
                <w:lang w:val="en-GB"/>
              </w:rPr>
              <w:t xml:space="preserve">advocate of its </w:t>
            </w:r>
            <w:r w:rsidRPr="00634CA2">
              <w:rPr>
                <w:lang w:val="en-GB"/>
              </w:rPr>
              <w:t>stakeholders</w:t>
            </w:r>
            <w:r w:rsidR="00FD6DC7" w:rsidRPr="00634CA2">
              <w:rPr>
                <w:lang w:val="en-GB"/>
              </w:rPr>
              <w:t xml:space="preserve"> (</w:t>
            </w:r>
            <w:r w:rsidR="0055717F" w:rsidRPr="00634CA2">
              <w:rPr>
                <w:lang w:val="en-GB"/>
              </w:rPr>
              <w:t xml:space="preserve">level </w:t>
            </w:r>
            <w:r w:rsidR="00E51F08" w:rsidRPr="00634CA2">
              <w:rPr>
                <w:lang w:val="en-GB"/>
              </w:rPr>
              <w:t xml:space="preserve">and quality </w:t>
            </w:r>
            <w:r w:rsidR="0055717F" w:rsidRPr="00634CA2">
              <w:rPr>
                <w:lang w:val="en-GB"/>
              </w:rPr>
              <w:t xml:space="preserve">of </w:t>
            </w:r>
            <w:r w:rsidR="00FD6DC7" w:rsidRPr="00634CA2">
              <w:rPr>
                <w:lang w:val="en-GB"/>
              </w:rPr>
              <w:t>engagement of stakeholders</w:t>
            </w:r>
            <w:r w:rsidR="0055717F" w:rsidRPr="00634CA2">
              <w:rPr>
                <w:lang w:val="en-GB"/>
              </w:rPr>
              <w:t xml:space="preserve"> into policy issues affecting them</w:t>
            </w:r>
            <w:r w:rsidR="00E51F08" w:rsidRPr="00634CA2">
              <w:rPr>
                <w:lang w:val="en-GB"/>
              </w:rPr>
              <w:t>)</w:t>
            </w:r>
          </w:p>
        </w:tc>
        <w:tc>
          <w:tcPr>
            <w:tcW w:w="1412" w:type="dxa"/>
          </w:tcPr>
          <w:p w14:paraId="5DAB9F3E" w14:textId="3DB08086" w:rsidR="009351F1" w:rsidRPr="00634CA2" w:rsidRDefault="009F7787" w:rsidP="00D02D53">
            <w:pPr>
              <w:jc w:val="both"/>
              <w:rPr>
                <w:lang w:val="en-GB"/>
              </w:rPr>
            </w:pPr>
            <w:r w:rsidRPr="00634CA2">
              <w:rPr>
                <w:lang w:val="en-GB"/>
              </w:rPr>
              <w:t>/10</w:t>
            </w:r>
          </w:p>
        </w:tc>
      </w:tr>
      <w:tr w:rsidR="00FE5731" w:rsidRPr="00DB17A1" w14:paraId="43416DA5" w14:textId="77777777" w:rsidTr="00BB1A3F">
        <w:tc>
          <w:tcPr>
            <w:tcW w:w="7650" w:type="dxa"/>
          </w:tcPr>
          <w:p w14:paraId="59AD2730" w14:textId="77777777" w:rsidR="00FE5731" w:rsidRPr="00634CA2" w:rsidRDefault="00FE5731" w:rsidP="00D02D53">
            <w:pPr>
              <w:jc w:val="both"/>
              <w:rPr>
                <w:lang w:val="en-GB"/>
              </w:rPr>
            </w:pPr>
            <w:r w:rsidRPr="00634CA2">
              <w:rPr>
                <w:lang w:val="en-GB"/>
              </w:rPr>
              <w:t>To what extent has the applicant monitoring and evaluation framework in place, does it engage in impact assessment</w:t>
            </w:r>
          </w:p>
        </w:tc>
        <w:tc>
          <w:tcPr>
            <w:tcW w:w="1412" w:type="dxa"/>
          </w:tcPr>
          <w:p w14:paraId="62C539A6" w14:textId="61FB5ABC" w:rsidR="00FE5731" w:rsidRPr="00634CA2" w:rsidRDefault="00FE5731" w:rsidP="00D02D53">
            <w:pPr>
              <w:jc w:val="both"/>
              <w:rPr>
                <w:lang w:val="en-GB"/>
              </w:rPr>
            </w:pPr>
            <w:r w:rsidRPr="00634CA2">
              <w:rPr>
                <w:lang w:val="en-GB"/>
              </w:rPr>
              <w:t>/</w:t>
            </w:r>
            <w:r w:rsidR="00C517E6">
              <w:rPr>
                <w:lang w:val="en-GB"/>
              </w:rPr>
              <w:t>5</w:t>
            </w:r>
          </w:p>
        </w:tc>
      </w:tr>
      <w:tr w:rsidR="00687410" w:rsidRPr="00DB17A1" w14:paraId="7681EC6D" w14:textId="77777777" w:rsidTr="00687410">
        <w:tc>
          <w:tcPr>
            <w:tcW w:w="7650" w:type="dxa"/>
          </w:tcPr>
          <w:p w14:paraId="4BF46709" w14:textId="44EC5ADF" w:rsidR="00687410" w:rsidRPr="00634CA2" w:rsidRDefault="00C37A61" w:rsidP="00D02D53">
            <w:pPr>
              <w:jc w:val="both"/>
              <w:rPr>
                <w:b/>
                <w:bCs/>
                <w:i/>
                <w:iCs/>
                <w:lang w:val="en-GB"/>
              </w:rPr>
            </w:pPr>
            <w:r w:rsidRPr="00634CA2">
              <w:rPr>
                <w:b/>
                <w:bCs/>
                <w:i/>
                <w:iCs/>
                <w:lang w:val="en-GB"/>
              </w:rPr>
              <w:t>Financial viability</w:t>
            </w:r>
          </w:p>
        </w:tc>
        <w:tc>
          <w:tcPr>
            <w:tcW w:w="1412" w:type="dxa"/>
          </w:tcPr>
          <w:p w14:paraId="7A219C9B" w14:textId="2BC5AB8C" w:rsidR="00687410" w:rsidRPr="00634CA2" w:rsidRDefault="00C71EB0" w:rsidP="00D02D53">
            <w:pPr>
              <w:jc w:val="both"/>
              <w:rPr>
                <w:b/>
                <w:bCs/>
                <w:i/>
                <w:iCs/>
                <w:lang w:val="en-GB"/>
              </w:rPr>
            </w:pPr>
            <w:r w:rsidRPr="00634CA2">
              <w:rPr>
                <w:b/>
                <w:bCs/>
                <w:i/>
                <w:iCs/>
                <w:lang w:val="en-GB"/>
              </w:rPr>
              <w:t>/</w:t>
            </w:r>
            <w:r w:rsidR="00C517E6">
              <w:rPr>
                <w:b/>
                <w:bCs/>
                <w:i/>
                <w:iCs/>
                <w:lang w:val="en-GB"/>
              </w:rPr>
              <w:t>15</w:t>
            </w:r>
          </w:p>
        </w:tc>
      </w:tr>
      <w:tr w:rsidR="00687410" w14:paraId="3F539EB9" w14:textId="77777777" w:rsidTr="00687410">
        <w:tc>
          <w:tcPr>
            <w:tcW w:w="7650" w:type="dxa"/>
          </w:tcPr>
          <w:p w14:paraId="25E287E8" w14:textId="00EAB7EB" w:rsidR="00687410" w:rsidRPr="00634CA2" w:rsidRDefault="002003A7" w:rsidP="00D02D53">
            <w:pPr>
              <w:jc w:val="both"/>
              <w:rPr>
                <w:lang w:val="en-GB"/>
              </w:rPr>
            </w:pPr>
            <w:r w:rsidRPr="00634CA2">
              <w:rPr>
                <w:lang w:val="en-GB"/>
              </w:rPr>
              <w:t>To what extent does the applicant</w:t>
            </w:r>
            <w:r w:rsidR="00994979" w:rsidRPr="00634CA2">
              <w:rPr>
                <w:lang w:val="en-GB"/>
              </w:rPr>
              <w:t xml:space="preserve"> demonstrate sufficient </w:t>
            </w:r>
            <w:r w:rsidR="00FD3C19" w:rsidRPr="00634CA2">
              <w:rPr>
                <w:lang w:val="en-GB"/>
              </w:rPr>
              <w:t xml:space="preserve">and diverse </w:t>
            </w:r>
            <w:r w:rsidR="00C71EB0" w:rsidRPr="00634CA2">
              <w:rPr>
                <w:lang w:val="en-GB"/>
              </w:rPr>
              <w:t>financial resources of funding to maintain its activity throughout the grant duration</w:t>
            </w:r>
          </w:p>
        </w:tc>
        <w:tc>
          <w:tcPr>
            <w:tcW w:w="1412" w:type="dxa"/>
          </w:tcPr>
          <w:p w14:paraId="7E8494F6" w14:textId="2120891B" w:rsidR="00687410" w:rsidRPr="00634CA2" w:rsidRDefault="00C71EB0" w:rsidP="00D02D53">
            <w:pPr>
              <w:jc w:val="both"/>
              <w:rPr>
                <w:lang w:val="en-GB"/>
              </w:rPr>
            </w:pPr>
            <w:r w:rsidRPr="00634CA2">
              <w:rPr>
                <w:lang w:val="en-GB"/>
              </w:rPr>
              <w:t>/</w:t>
            </w:r>
            <w:r w:rsidR="00C517E6">
              <w:rPr>
                <w:lang w:val="en-GB"/>
              </w:rPr>
              <w:t>5</w:t>
            </w:r>
          </w:p>
        </w:tc>
      </w:tr>
      <w:tr w:rsidR="00687410" w14:paraId="131EAA19" w14:textId="77777777" w:rsidTr="00687410">
        <w:tc>
          <w:tcPr>
            <w:tcW w:w="7650" w:type="dxa"/>
          </w:tcPr>
          <w:p w14:paraId="5D51F5A3" w14:textId="1907B178" w:rsidR="00687410" w:rsidRPr="00634CA2" w:rsidRDefault="00E81F95" w:rsidP="00D02D53">
            <w:pPr>
              <w:jc w:val="both"/>
              <w:rPr>
                <w:lang w:val="en-GB"/>
              </w:rPr>
            </w:pPr>
            <w:r w:rsidRPr="00634CA2">
              <w:rPr>
                <w:lang w:val="en-GB"/>
              </w:rPr>
              <w:t xml:space="preserve">To what extent does the organisational budget appear proportionate and necessary for the implementation of the </w:t>
            </w:r>
            <w:r w:rsidR="00110C37" w:rsidRPr="00634CA2">
              <w:rPr>
                <w:lang w:val="en-GB"/>
              </w:rPr>
              <w:t>multi-annual</w:t>
            </w:r>
            <w:r w:rsidRPr="00634CA2">
              <w:rPr>
                <w:lang w:val="en-GB"/>
              </w:rPr>
              <w:t xml:space="preserve"> organisational strategy and/or workplan, ensuring the optimal</w:t>
            </w:r>
            <w:r w:rsidR="00110C37" w:rsidRPr="00634CA2">
              <w:rPr>
                <w:lang w:val="en-GB"/>
              </w:rPr>
              <w:t xml:space="preserve"> use of resources</w:t>
            </w:r>
          </w:p>
        </w:tc>
        <w:tc>
          <w:tcPr>
            <w:tcW w:w="1412" w:type="dxa"/>
          </w:tcPr>
          <w:p w14:paraId="2C494D13" w14:textId="54C8CBB5" w:rsidR="00687410" w:rsidRPr="00634CA2" w:rsidRDefault="00C71EB0" w:rsidP="00D02D53">
            <w:pPr>
              <w:jc w:val="both"/>
              <w:rPr>
                <w:lang w:val="en-GB"/>
              </w:rPr>
            </w:pPr>
            <w:r w:rsidRPr="00634CA2">
              <w:rPr>
                <w:lang w:val="en-GB"/>
              </w:rPr>
              <w:t>/</w:t>
            </w:r>
            <w:r w:rsidR="00242306">
              <w:rPr>
                <w:lang w:val="en-GB"/>
              </w:rPr>
              <w:t>5</w:t>
            </w:r>
          </w:p>
        </w:tc>
      </w:tr>
      <w:tr w:rsidR="00242306" w14:paraId="3312B6EA" w14:textId="77777777" w:rsidTr="00687410">
        <w:tc>
          <w:tcPr>
            <w:tcW w:w="7650" w:type="dxa"/>
          </w:tcPr>
          <w:p w14:paraId="02362E68" w14:textId="655C6F9C" w:rsidR="00242306" w:rsidRPr="00634CA2" w:rsidRDefault="00D531D8" w:rsidP="00D02D53">
            <w:pPr>
              <w:jc w:val="both"/>
              <w:rPr>
                <w:lang w:val="en-GB"/>
              </w:rPr>
            </w:pPr>
            <w:r>
              <w:rPr>
                <w:lang w:val="en-GB"/>
              </w:rPr>
              <w:t xml:space="preserve">To what extent </w:t>
            </w:r>
            <w:r w:rsidR="009A7161">
              <w:rPr>
                <w:lang w:val="en-GB"/>
              </w:rPr>
              <w:t>is applicant’s general budget identifiable and verifiable</w:t>
            </w:r>
            <w:r w:rsidR="00FA0BA6">
              <w:rPr>
                <w:lang w:val="en-GB"/>
              </w:rPr>
              <w:t xml:space="preserve">, </w:t>
            </w:r>
            <w:proofErr w:type="gramStart"/>
            <w:r w:rsidR="00FA0BA6">
              <w:rPr>
                <w:lang w:val="en-GB"/>
              </w:rPr>
              <w:t>in particular through</w:t>
            </w:r>
            <w:proofErr w:type="gramEnd"/>
            <w:r w:rsidR="00FA0BA6">
              <w:rPr>
                <w:lang w:val="en-GB"/>
              </w:rPr>
              <w:t xml:space="preserve"> being recorded in the accounting standards and </w:t>
            </w:r>
            <w:r w:rsidR="00DF1BD9">
              <w:rPr>
                <w:lang w:val="en-GB"/>
              </w:rPr>
              <w:t>generally accepted accounting standards and complies with the requirements of applicable tax and social legislation</w:t>
            </w:r>
          </w:p>
        </w:tc>
        <w:tc>
          <w:tcPr>
            <w:tcW w:w="1412" w:type="dxa"/>
          </w:tcPr>
          <w:p w14:paraId="739EEDB9" w14:textId="01177677" w:rsidR="00242306" w:rsidRPr="00634CA2" w:rsidRDefault="00DF1BD9" w:rsidP="00D02D53">
            <w:pPr>
              <w:jc w:val="both"/>
              <w:rPr>
                <w:lang w:val="en-GB"/>
              </w:rPr>
            </w:pPr>
            <w:r>
              <w:rPr>
                <w:lang w:val="en-GB"/>
              </w:rPr>
              <w:t>/5</w:t>
            </w:r>
          </w:p>
        </w:tc>
      </w:tr>
      <w:tr w:rsidR="00687410" w:rsidRPr="003850B2" w14:paraId="343BC2A7" w14:textId="77777777" w:rsidTr="00687410">
        <w:tc>
          <w:tcPr>
            <w:tcW w:w="7650" w:type="dxa"/>
          </w:tcPr>
          <w:p w14:paraId="03F56C86" w14:textId="4C8EE7D1" w:rsidR="00687410" w:rsidRPr="00634CA2" w:rsidRDefault="003850B2" w:rsidP="00D02D53">
            <w:pPr>
              <w:jc w:val="both"/>
              <w:rPr>
                <w:b/>
                <w:bCs/>
                <w:i/>
                <w:iCs/>
                <w:lang w:val="en-GB"/>
              </w:rPr>
            </w:pPr>
            <w:r w:rsidRPr="00634CA2">
              <w:rPr>
                <w:b/>
                <w:bCs/>
                <w:i/>
                <w:iCs/>
                <w:lang w:val="en-GB"/>
              </w:rPr>
              <w:t>Transparency</w:t>
            </w:r>
          </w:p>
        </w:tc>
        <w:tc>
          <w:tcPr>
            <w:tcW w:w="1412" w:type="dxa"/>
          </w:tcPr>
          <w:p w14:paraId="7951050D" w14:textId="5C036EA8" w:rsidR="00687410" w:rsidRPr="00634CA2" w:rsidRDefault="003850B2" w:rsidP="00D02D53">
            <w:pPr>
              <w:jc w:val="both"/>
              <w:rPr>
                <w:b/>
                <w:bCs/>
                <w:i/>
                <w:iCs/>
                <w:lang w:val="en-GB"/>
              </w:rPr>
            </w:pPr>
            <w:r w:rsidRPr="00634CA2">
              <w:rPr>
                <w:b/>
                <w:bCs/>
                <w:i/>
                <w:iCs/>
                <w:lang w:val="en-GB"/>
              </w:rPr>
              <w:t>/</w:t>
            </w:r>
            <w:r w:rsidR="00C517E6">
              <w:rPr>
                <w:b/>
                <w:bCs/>
                <w:i/>
                <w:iCs/>
                <w:lang w:val="en-GB"/>
              </w:rPr>
              <w:t>10</w:t>
            </w:r>
          </w:p>
        </w:tc>
      </w:tr>
      <w:tr w:rsidR="00CE3DC2" w14:paraId="35F39F5E" w14:textId="77777777" w:rsidTr="00687410">
        <w:tc>
          <w:tcPr>
            <w:tcW w:w="7650" w:type="dxa"/>
          </w:tcPr>
          <w:p w14:paraId="3DA3AD03" w14:textId="0D56FD35" w:rsidR="00CE3DC2" w:rsidRPr="00634CA2" w:rsidRDefault="00FC6850" w:rsidP="00D02D53">
            <w:pPr>
              <w:jc w:val="both"/>
              <w:rPr>
                <w:lang w:val="en-GB"/>
              </w:rPr>
            </w:pPr>
            <w:r w:rsidRPr="00634CA2">
              <w:rPr>
                <w:lang w:val="en-GB"/>
              </w:rPr>
              <w:t>Does the applicant publish</w:t>
            </w:r>
            <w:r w:rsidR="0010031C" w:rsidRPr="00634CA2">
              <w:rPr>
                <w:lang w:val="en-GB"/>
              </w:rPr>
              <w:t xml:space="preserve"> members of its </w:t>
            </w:r>
            <w:r w:rsidR="007D0765" w:rsidRPr="00634CA2">
              <w:rPr>
                <w:lang w:val="en-GB"/>
              </w:rPr>
              <w:t xml:space="preserve">governing structures, annual reports, </w:t>
            </w:r>
            <w:proofErr w:type="gramStart"/>
            <w:r w:rsidR="007D0765" w:rsidRPr="00634CA2">
              <w:rPr>
                <w:lang w:val="en-GB"/>
              </w:rPr>
              <w:t>activities</w:t>
            </w:r>
            <w:proofErr w:type="gramEnd"/>
            <w:r w:rsidR="007D0765" w:rsidRPr="00634CA2">
              <w:rPr>
                <w:lang w:val="en-GB"/>
              </w:rPr>
              <w:t xml:space="preserve"> and results on its web site</w:t>
            </w:r>
          </w:p>
        </w:tc>
        <w:tc>
          <w:tcPr>
            <w:tcW w:w="1412" w:type="dxa"/>
          </w:tcPr>
          <w:p w14:paraId="4B311B5D" w14:textId="0F7DB2B8" w:rsidR="00CE3DC2" w:rsidRPr="00634CA2" w:rsidRDefault="007D0765" w:rsidP="00D02D53">
            <w:pPr>
              <w:jc w:val="both"/>
              <w:rPr>
                <w:lang w:val="en-GB"/>
              </w:rPr>
            </w:pPr>
            <w:r w:rsidRPr="00634CA2">
              <w:rPr>
                <w:lang w:val="en-GB"/>
              </w:rPr>
              <w:t>/</w:t>
            </w:r>
            <w:r w:rsidR="00C517E6">
              <w:rPr>
                <w:lang w:val="en-GB"/>
              </w:rPr>
              <w:t>10</w:t>
            </w:r>
          </w:p>
        </w:tc>
      </w:tr>
      <w:tr w:rsidR="00CE3DC2" w14:paraId="27E068FA" w14:textId="77777777" w:rsidTr="00687410">
        <w:tc>
          <w:tcPr>
            <w:tcW w:w="7650" w:type="dxa"/>
          </w:tcPr>
          <w:p w14:paraId="5E35B828" w14:textId="61B11476" w:rsidR="00CE3DC2" w:rsidRPr="00634CA2" w:rsidRDefault="009B4DA7" w:rsidP="00D02D53">
            <w:pPr>
              <w:jc w:val="both"/>
              <w:rPr>
                <w:b/>
                <w:bCs/>
                <w:i/>
                <w:iCs/>
                <w:lang w:val="en-GB"/>
              </w:rPr>
            </w:pPr>
            <w:r w:rsidRPr="00634CA2">
              <w:rPr>
                <w:b/>
                <w:bCs/>
                <w:i/>
                <w:iCs/>
                <w:lang w:val="en-GB"/>
              </w:rPr>
              <w:t>Capacity building plan</w:t>
            </w:r>
          </w:p>
        </w:tc>
        <w:tc>
          <w:tcPr>
            <w:tcW w:w="1412" w:type="dxa"/>
          </w:tcPr>
          <w:p w14:paraId="4DE6BCA8" w14:textId="07A5671A" w:rsidR="00CE3DC2" w:rsidRPr="00634CA2" w:rsidRDefault="009B4DA7" w:rsidP="00D02D53">
            <w:pPr>
              <w:jc w:val="both"/>
              <w:rPr>
                <w:b/>
                <w:bCs/>
                <w:i/>
                <w:iCs/>
                <w:lang w:val="en-GB"/>
              </w:rPr>
            </w:pPr>
            <w:r w:rsidRPr="00634CA2">
              <w:rPr>
                <w:b/>
                <w:bCs/>
                <w:i/>
                <w:iCs/>
                <w:lang w:val="en-GB"/>
              </w:rPr>
              <w:t>/5</w:t>
            </w:r>
          </w:p>
        </w:tc>
      </w:tr>
      <w:tr w:rsidR="009B4DA7" w14:paraId="48E1A6E4" w14:textId="77777777" w:rsidTr="00687410">
        <w:tc>
          <w:tcPr>
            <w:tcW w:w="7650" w:type="dxa"/>
          </w:tcPr>
          <w:p w14:paraId="665C16D0" w14:textId="55B9319D" w:rsidR="009B4DA7" w:rsidRPr="00634CA2" w:rsidRDefault="004D2769" w:rsidP="00D02D53">
            <w:pPr>
              <w:jc w:val="both"/>
              <w:rPr>
                <w:lang w:val="en-GB"/>
              </w:rPr>
            </w:pPr>
            <w:r w:rsidRPr="00634CA2">
              <w:rPr>
                <w:lang w:val="en-GB"/>
              </w:rPr>
              <w:t xml:space="preserve">To what extent is the capacity building plan sound and based on </w:t>
            </w:r>
            <w:r w:rsidR="00B732AD" w:rsidRPr="00634CA2">
              <w:rPr>
                <w:lang w:val="en-GB"/>
              </w:rPr>
              <w:t xml:space="preserve">organisational </w:t>
            </w:r>
            <w:r w:rsidRPr="00634CA2">
              <w:rPr>
                <w:lang w:val="en-GB"/>
              </w:rPr>
              <w:t>assessment</w:t>
            </w:r>
          </w:p>
        </w:tc>
        <w:tc>
          <w:tcPr>
            <w:tcW w:w="1412" w:type="dxa"/>
          </w:tcPr>
          <w:p w14:paraId="75E40D5D" w14:textId="5219E47E" w:rsidR="009B4DA7" w:rsidRPr="00634CA2" w:rsidRDefault="007D0765" w:rsidP="00D02D53">
            <w:pPr>
              <w:jc w:val="both"/>
              <w:rPr>
                <w:lang w:val="en-GB"/>
              </w:rPr>
            </w:pPr>
            <w:r w:rsidRPr="00634CA2">
              <w:rPr>
                <w:lang w:val="en-GB"/>
              </w:rPr>
              <w:t>/5</w:t>
            </w:r>
          </w:p>
        </w:tc>
      </w:tr>
    </w:tbl>
    <w:p w14:paraId="1BED80ED" w14:textId="77777777" w:rsidR="00CE3DC2" w:rsidRPr="005E2F5C" w:rsidRDefault="00CE3DC2" w:rsidP="00D02D53">
      <w:pPr>
        <w:jc w:val="both"/>
        <w:rPr>
          <w:lang w:val="en-GB"/>
        </w:rPr>
      </w:pPr>
    </w:p>
    <w:p w14:paraId="383B5133" w14:textId="77777777" w:rsidR="00974768" w:rsidRPr="00974768" w:rsidRDefault="00974768" w:rsidP="00D02D53">
      <w:pPr>
        <w:pStyle w:val="Heading2"/>
        <w:jc w:val="both"/>
      </w:pPr>
      <w:r w:rsidRPr="00974768">
        <w:t>Selection committee</w:t>
      </w:r>
    </w:p>
    <w:p w14:paraId="56A6EB5E" w14:textId="08434077" w:rsidR="00974768" w:rsidRPr="009919F3" w:rsidRDefault="00974768" w:rsidP="00D02D53">
      <w:pPr>
        <w:jc w:val="both"/>
        <w:rPr>
          <w:lang w:val="en-GB"/>
        </w:rPr>
      </w:pPr>
      <w:r w:rsidRPr="009919F3">
        <w:rPr>
          <w:lang w:val="en-GB"/>
        </w:rPr>
        <w:t xml:space="preserve">The </w:t>
      </w:r>
      <w:r>
        <w:rPr>
          <w:lang w:val="en-GB"/>
        </w:rPr>
        <w:t>S</w:t>
      </w:r>
      <w:r w:rsidRPr="009919F3">
        <w:rPr>
          <w:lang w:val="en-GB"/>
        </w:rPr>
        <w:t xml:space="preserve">election </w:t>
      </w:r>
      <w:r>
        <w:rPr>
          <w:lang w:val="en-GB"/>
        </w:rPr>
        <w:t>C</w:t>
      </w:r>
      <w:r w:rsidRPr="009919F3">
        <w:rPr>
          <w:lang w:val="en-GB"/>
        </w:rPr>
        <w:t>ommittee</w:t>
      </w:r>
      <w:r w:rsidR="007F3B3B">
        <w:rPr>
          <w:lang w:val="en-GB"/>
        </w:rPr>
        <w:t xml:space="preserve"> will </w:t>
      </w:r>
      <w:r w:rsidRPr="009919F3">
        <w:rPr>
          <w:lang w:val="en-GB"/>
        </w:rPr>
        <w:t>review the ranked list of applications and make</w:t>
      </w:r>
      <w:r w:rsidR="008D4799">
        <w:rPr>
          <w:lang w:val="en-GB"/>
        </w:rPr>
        <w:t xml:space="preserve"> </w:t>
      </w:r>
      <w:r w:rsidRPr="009919F3">
        <w:rPr>
          <w:lang w:val="en-GB"/>
        </w:rPr>
        <w:t xml:space="preserve">recommendations to the Fund Operator which projects should be funded, which should be rejected, and which shall be left on the reserve list if some of the selected project promoters may fail to launch the project. </w:t>
      </w:r>
      <w:r>
        <w:rPr>
          <w:lang w:val="en-GB"/>
        </w:rPr>
        <w:t xml:space="preserve">The </w:t>
      </w:r>
      <w:r w:rsidR="008D4799">
        <w:rPr>
          <w:lang w:val="en-GB"/>
        </w:rPr>
        <w:t>S</w:t>
      </w:r>
      <w:r>
        <w:rPr>
          <w:lang w:val="en-GB"/>
        </w:rPr>
        <w:t xml:space="preserve">election Committee will follow the rules of procedure proposed by the Fund Operator which define the methods and situations how and when modifications to the ranking of projects are justified and how these modifications will be documented. Modifications in </w:t>
      </w:r>
      <w:r w:rsidRPr="009919F3">
        <w:rPr>
          <w:lang w:val="en-GB"/>
        </w:rPr>
        <w:t xml:space="preserve">the ranking of project applications </w:t>
      </w:r>
      <w:r>
        <w:rPr>
          <w:lang w:val="en-GB"/>
        </w:rPr>
        <w:t xml:space="preserve">are allowed </w:t>
      </w:r>
      <w:r w:rsidRPr="009919F3">
        <w:rPr>
          <w:lang w:val="en-GB"/>
        </w:rPr>
        <w:t>in justified cases</w:t>
      </w:r>
      <w:r>
        <w:rPr>
          <w:lang w:val="en-GB"/>
        </w:rPr>
        <w:t xml:space="preserve"> and</w:t>
      </w:r>
      <w:r w:rsidRPr="009919F3">
        <w:rPr>
          <w:lang w:val="en-GB"/>
        </w:rPr>
        <w:t xml:space="preserve"> in transparent manner which will be documented in the minutes of the Selection Committee meeting. </w:t>
      </w:r>
      <w:r>
        <w:rPr>
          <w:lang w:val="en-GB"/>
        </w:rPr>
        <w:t xml:space="preserve">They may also propose changes to individual projects’ budget or approve a project application with additional conditions. </w:t>
      </w:r>
    </w:p>
    <w:p w14:paraId="5CA046D2" w14:textId="0AF6E43F" w:rsidR="00974768" w:rsidRPr="009919F3" w:rsidRDefault="00974768" w:rsidP="00D02D53">
      <w:pPr>
        <w:jc w:val="both"/>
        <w:rPr>
          <w:lang w:val="en-GB"/>
        </w:rPr>
      </w:pPr>
      <w:r w:rsidRPr="009919F3">
        <w:rPr>
          <w:lang w:val="en-GB"/>
        </w:rPr>
        <w:t xml:space="preserve">The </w:t>
      </w:r>
      <w:r w:rsidR="00D84A37">
        <w:rPr>
          <w:lang w:val="en-GB"/>
        </w:rPr>
        <w:t>S</w:t>
      </w:r>
      <w:r w:rsidRPr="009919F3">
        <w:rPr>
          <w:lang w:val="en-GB"/>
        </w:rPr>
        <w:t xml:space="preserve">election </w:t>
      </w:r>
      <w:r w:rsidR="00D84A37">
        <w:rPr>
          <w:lang w:val="en-GB"/>
        </w:rPr>
        <w:t>C</w:t>
      </w:r>
      <w:r w:rsidRPr="009919F3">
        <w:rPr>
          <w:lang w:val="en-GB"/>
        </w:rPr>
        <w:t xml:space="preserve">ommittee will consist of five members who have experience or expertise of working on or with civil society. One member of the </w:t>
      </w:r>
      <w:r>
        <w:rPr>
          <w:lang w:val="en-GB"/>
        </w:rPr>
        <w:t>S</w:t>
      </w:r>
      <w:r w:rsidRPr="009919F3">
        <w:rPr>
          <w:lang w:val="en-GB"/>
        </w:rPr>
        <w:t xml:space="preserve">election </w:t>
      </w:r>
      <w:r>
        <w:rPr>
          <w:lang w:val="en-GB"/>
        </w:rPr>
        <w:t>C</w:t>
      </w:r>
      <w:r w:rsidRPr="009919F3">
        <w:rPr>
          <w:lang w:val="en-GB"/>
        </w:rPr>
        <w:t xml:space="preserve">ommittee comes from among the members of the Board of the Open Estonia Foundation, the others </w:t>
      </w:r>
      <w:r>
        <w:rPr>
          <w:lang w:val="en-GB"/>
        </w:rPr>
        <w:t>wi</w:t>
      </w:r>
      <w:r w:rsidRPr="009919F3">
        <w:rPr>
          <w:lang w:val="en-GB"/>
        </w:rPr>
        <w:t xml:space="preserve">ll be external to the Fund Operator. The FMO, representative of the National Focal Point and the Royal Norwegian Embassy </w:t>
      </w:r>
      <w:r>
        <w:rPr>
          <w:lang w:val="en-GB"/>
        </w:rPr>
        <w:t>wi</w:t>
      </w:r>
      <w:r w:rsidRPr="009919F3">
        <w:rPr>
          <w:lang w:val="en-GB"/>
        </w:rPr>
        <w:t>ll be invited as observers to the meeting</w:t>
      </w:r>
      <w:r>
        <w:rPr>
          <w:lang w:val="en-GB"/>
        </w:rPr>
        <w:t>s</w:t>
      </w:r>
      <w:r w:rsidRPr="009919F3">
        <w:rPr>
          <w:lang w:val="en-GB"/>
        </w:rPr>
        <w:t xml:space="preserve"> of the </w:t>
      </w:r>
      <w:r>
        <w:rPr>
          <w:lang w:val="en-GB"/>
        </w:rPr>
        <w:t>S</w:t>
      </w:r>
      <w:r w:rsidRPr="009919F3">
        <w:rPr>
          <w:lang w:val="en-GB"/>
        </w:rPr>
        <w:t xml:space="preserve">election </w:t>
      </w:r>
      <w:r>
        <w:rPr>
          <w:lang w:val="en-GB"/>
        </w:rPr>
        <w:t>C</w:t>
      </w:r>
      <w:r w:rsidRPr="009919F3">
        <w:rPr>
          <w:lang w:val="en-GB"/>
        </w:rPr>
        <w:t>ommittee.</w:t>
      </w:r>
      <w:r w:rsidRPr="009919F3">
        <w:rPr>
          <w:b/>
          <w:lang w:val="en-GB"/>
        </w:rPr>
        <w:t xml:space="preserve"> </w:t>
      </w:r>
    </w:p>
    <w:p w14:paraId="0BC9BFAF" w14:textId="56FBA2D8" w:rsidR="00974768" w:rsidRPr="009919F3" w:rsidRDefault="00974768" w:rsidP="00D02D53">
      <w:pPr>
        <w:pStyle w:val="Heading2"/>
        <w:jc w:val="both"/>
      </w:pPr>
      <w:r w:rsidRPr="009919F3">
        <w:t>Final selection of projects</w:t>
      </w:r>
      <w:r w:rsidR="008D4799">
        <w:t xml:space="preserve"> by the </w:t>
      </w:r>
      <w:r w:rsidR="008952BC">
        <w:t xml:space="preserve">Board of the </w:t>
      </w:r>
      <w:r w:rsidR="008D4799">
        <w:t>OEF</w:t>
      </w:r>
    </w:p>
    <w:p w14:paraId="03259CEA" w14:textId="0C6FE240" w:rsidR="00FB0985" w:rsidRPr="008336CF" w:rsidRDefault="00974768" w:rsidP="00D02D53">
      <w:pPr>
        <w:jc w:val="both"/>
        <w:rPr>
          <w:lang w:val="en-GB"/>
        </w:rPr>
      </w:pPr>
      <w:r w:rsidRPr="009919F3">
        <w:rPr>
          <w:lang w:val="en-GB"/>
        </w:rPr>
        <w:t xml:space="preserve">The recommendations of the </w:t>
      </w:r>
      <w:r>
        <w:rPr>
          <w:lang w:val="en-GB"/>
        </w:rPr>
        <w:t>S</w:t>
      </w:r>
      <w:r w:rsidRPr="009919F3">
        <w:rPr>
          <w:lang w:val="en-GB"/>
        </w:rPr>
        <w:t xml:space="preserve">election </w:t>
      </w:r>
      <w:r>
        <w:rPr>
          <w:lang w:val="en-GB"/>
        </w:rPr>
        <w:t>C</w:t>
      </w:r>
      <w:r w:rsidRPr="009919F3">
        <w:rPr>
          <w:lang w:val="en-GB"/>
        </w:rPr>
        <w:t xml:space="preserve">ommittee </w:t>
      </w:r>
      <w:r>
        <w:rPr>
          <w:lang w:val="en-GB"/>
        </w:rPr>
        <w:t>wi</w:t>
      </w:r>
      <w:r w:rsidRPr="009919F3">
        <w:rPr>
          <w:lang w:val="en-GB"/>
        </w:rPr>
        <w:t xml:space="preserve">ll be submitted to the Board of the Open Estonia Foundation who </w:t>
      </w:r>
      <w:r w:rsidR="002C1694">
        <w:rPr>
          <w:lang w:val="en-GB"/>
        </w:rPr>
        <w:t xml:space="preserve">has the </w:t>
      </w:r>
      <w:r w:rsidRPr="009919F3">
        <w:rPr>
          <w:lang w:val="en-GB"/>
        </w:rPr>
        <w:t xml:space="preserve">responsibility to approve the selection of projects to be funded. The Board </w:t>
      </w:r>
      <w:r w:rsidRPr="009919F3">
        <w:rPr>
          <w:lang w:val="en-GB"/>
        </w:rPr>
        <w:lastRenderedPageBreak/>
        <w:t xml:space="preserve">may modify the decision of the </w:t>
      </w:r>
      <w:r>
        <w:rPr>
          <w:lang w:val="en-GB"/>
        </w:rPr>
        <w:t>S</w:t>
      </w:r>
      <w:r w:rsidRPr="009919F3">
        <w:rPr>
          <w:lang w:val="en-GB"/>
        </w:rPr>
        <w:t xml:space="preserve">election </w:t>
      </w:r>
      <w:r>
        <w:rPr>
          <w:lang w:val="en-GB"/>
        </w:rPr>
        <w:t>C</w:t>
      </w:r>
      <w:r w:rsidRPr="009919F3">
        <w:rPr>
          <w:lang w:val="en-GB"/>
        </w:rPr>
        <w:t>ommittee in justified cases.</w:t>
      </w:r>
      <w:r w:rsidR="008952BC">
        <w:rPr>
          <w:lang w:val="en-GB"/>
        </w:rPr>
        <w:t xml:space="preserve"> </w:t>
      </w:r>
      <w:r w:rsidR="00B57146">
        <w:rPr>
          <w:lang w:val="en-GB"/>
        </w:rPr>
        <w:t>Applicants are informed of such modifications if applicable</w:t>
      </w:r>
      <w:r w:rsidR="00B57146" w:rsidRPr="00544CCF">
        <w:rPr>
          <w:lang w:val="en-GB"/>
        </w:rPr>
        <w:t>.</w:t>
      </w:r>
      <w:r w:rsidRPr="00544CCF">
        <w:rPr>
          <w:lang w:val="en-GB"/>
        </w:rPr>
        <w:t xml:space="preserve"> </w:t>
      </w:r>
      <w:r w:rsidR="00D27039" w:rsidRPr="00544CCF">
        <w:rPr>
          <w:lang w:val="en-GB"/>
        </w:rPr>
        <w:t xml:space="preserve">The decision of the Board of the Open Estonia Foundation is final and will not be subject to </w:t>
      </w:r>
      <w:r w:rsidR="008952BC" w:rsidRPr="00544CCF">
        <w:rPr>
          <w:lang w:val="en-GB"/>
        </w:rPr>
        <w:t>dispute.</w:t>
      </w:r>
    </w:p>
    <w:p w14:paraId="67B03B61" w14:textId="19796C78" w:rsidR="00BE4676" w:rsidRPr="00294F0D" w:rsidRDefault="00C52265" w:rsidP="00D02D53">
      <w:pPr>
        <w:pStyle w:val="Heading2"/>
        <w:jc w:val="both"/>
      </w:pPr>
      <w:r w:rsidRPr="00294F0D">
        <w:t xml:space="preserve">Notifying </w:t>
      </w:r>
      <w:r w:rsidR="00A82172" w:rsidRPr="00294F0D">
        <w:t>of the results of the selection process</w:t>
      </w:r>
    </w:p>
    <w:p w14:paraId="7438F12B" w14:textId="77777777" w:rsidR="00294F0D" w:rsidRDefault="00294F0D" w:rsidP="00D02D53">
      <w:pPr>
        <w:spacing w:after="0"/>
        <w:jc w:val="both"/>
        <w:rPr>
          <w:rFonts w:eastAsia="Calibri" w:cs="Calibri"/>
          <w:bCs/>
          <w:lang w:val="en-GB"/>
        </w:rPr>
      </w:pPr>
      <w:r>
        <w:rPr>
          <w:rFonts w:eastAsia="Calibri" w:cs="Calibri"/>
          <w:bCs/>
          <w:lang w:val="en-GB"/>
        </w:rPr>
        <w:t xml:space="preserve">Applicants are notified by e-mail about approval or rejection of their application within one week after the decision of the Board of the Open Estonia Foundation. </w:t>
      </w:r>
    </w:p>
    <w:p w14:paraId="6CC184E3" w14:textId="77777777" w:rsidR="00576EFE" w:rsidRDefault="00294F0D" w:rsidP="00D02D53">
      <w:pPr>
        <w:spacing w:after="0"/>
        <w:jc w:val="both"/>
        <w:rPr>
          <w:rFonts w:eastAsia="Calibri" w:cs="Calibri"/>
          <w:bCs/>
          <w:lang w:val="en-GB"/>
        </w:rPr>
      </w:pPr>
      <w:r>
        <w:rPr>
          <w:rFonts w:eastAsia="Calibri" w:cs="Calibri"/>
          <w:bCs/>
          <w:lang w:val="en-GB"/>
        </w:rPr>
        <w:t xml:space="preserve">Unsuccessful applicants are provided with feedback of the reasons for not approving their project for funding. </w:t>
      </w:r>
    </w:p>
    <w:p w14:paraId="6CA20209" w14:textId="465CAF65" w:rsidR="00294F0D" w:rsidRDefault="00294F0D" w:rsidP="00D02D53">
      <w:pPr>
        <w:spacing w:after="0"/>
        <w:jc w:val="both"/>
        <w:rPr>
          <w:rFonts w:eastAsia="Calibri" w:cs="Calibri"/>
          <w:bCs/>
          <w:lang w:val="en-GB"/>
        </w:rPr>
      </w:pPr>
      <w:r>
        <w:rPr>
          <w:rFonts w:eastAsia="Calibri" w:cs="Calibri"/>
          <w:bCs/>
          <w:lang w:val="en-GB"/>
        </w:rPr>
        <w:t>If the rejection of a project application was the result of a modification by the Selection Committee or the Board of the Open Estonia Foundation, such a justification will be provided.</w:t>
      </w:r>
    </w:p>
    <w:p w14:paraId="6242F81B" w14:textId="77777777" w:rsidR="00186552" w:rsidRDefault="00186552" w:rsidP="00BE4676">
      <w:pPr>
        <w:jc w:val="both"/>
        <w:rPr>
          <w:rFonts w:asciiTheme="minorHAnsi" w:hAnsiTheme="minorHAnsi" w:cstheme="minorHAnsi"/>
          <w:lang w:val="en-GB"/>
        </w:rPr>
      </w:pPr>
    </w:p>
    <w:p w14:paraId="4E976DCC" w14:textId="210092AA" w:rsidR="00A82172" w:rsidRPr="005E2F5C" w:rsidRDefault="00A82172" w:rsidP="00D02D53">
      <w:pPr>
        <w:pStyle w:val="Heading1"/>
        <w:jc w:val="both"/>
        <w:rPr>
          <w:lang w:val="en-GB"/>
        </w:rPr>
      </w:pPr>
      <w:r w:rsidRPr="005E2F5C">
        <w:rPr>
          <w:lang w:val="en-GB"/>
        </w:rPr>
        <w:t xml:space="preserve">Contracting </w:t>
      </w:r>
      <w:r w:rsidR="00D72805" w:rsidRPr="005E2F5C">
        <w:rPr>
          <w:lang w:val="en-GB"/>
        </w:rPr>
        <w:t xml:space="preserve">and monitoring </w:t>
      </w:r>
      <w:r w:rsidRPr="005E2F5C">
        <w:rPr>
          <w:lang w:val="en-GB"/>
        </w:rPr>
        <w:t>of projects</w:t>
      </w:r>
    </w:p>
    <w:p w14:paraId="5A3A74D6" w14:textId="0047417F" w:rsidR="00312384" w:rsidRPr="005E2F5C" w:rsidRDefault="00312384" w:rsidP="00D02D53">
      <w:pPr>
        <w:jc w:val="both"/>
        <w:rPr>
          <w:rFonts w:eastAsia="Calibri"/>
          <w:lang w:val="en-GB"/>
        </w:rPr>
      </w:pPr>
      <w:r w:rsidRPr="005E2F5C">
        <w:rPr>
          <w:rFonts w:eastAsia="Calibri"/>
          <w:lang w:val="en-GB"/>
        </w:rPr>
        <w:t xml:space="preserve">A project contract will be concluded between the </w:t>
      </w:r>
      <w:r w:rsidR="00406C16" w:rsidRPr="005E2F5C">
        <w:rPr>
          <w:rFonts w:eastAsia="Calibri"/>
          <w:lang w:val="en-GB"/>
        </w:rPr>
        <w:t>OEF</w:t>
      </w:r>
      <w:r w:rsidRPr="005E2F5C">
        <w:rPr>
          <w:rFonts w:eastAsia="Calibri"/>
          <w:lang w:val="en-GB"/>
        </w:rPr>
        <w:t xml:space="preserve"> and the project promoter for each approved</w:t>
      </w:r>
      <w:r w:rsidR="005254AB" w:rsidRPr="005E2F5C">
        <w:rPr>
          <w:rFonts w:eastAsia="Calibri"/>
          <w:b/>
          <w:lang w:val="en-GB"/>
        </w:rPr>
        <w:t xml:space="preserve"> </w:t>
      </w:r>
      <w:r w:rsidRPr="005E2F5C">
        <w:rPr>
          <w:rFonts w:eastAsia="Calibri"/>
          <w:lang w:val="en-GB"/>
        </w:rPr>
        <w:t xml:space="preserve">project. The project contract will set out the terms and conditions of grant assistance and the roles and responsibilities of the parties. </w:t>
      </w:r>
    </w:p>
    <w:p w14:paraId="45CAA9C2" w14:textId="77777777" w:rsidR="00373054" w:rsidRDefault="00373054" w:rsidP="00BE4676">
      <w:pPr>
        <w:jc w:val="both"/>
        <w:rPr>
          <w:rFonts w:asciiTheme="minorHAnsi" w:hAnsiTheme="minorHAnsi" w:cstheme="minorHAnsi"/>
          <w:lang w:val="en-GB"/>
        </w:rPr>
      </w:pPr>
    </w:p>
    <w:p w14:paraId="4A83E587" w14:textId="53B9535A" w:rsidR="00560C5A" w:rsidRPr="005E2F5C" w:rsidRDefault="004A7079" w:rsidP="00D02D53">
      <w:pPr>
        <w:pStyle w:val="Heading1"/>
        <w:jc w:val="both"/>
        <w:rPr>
          <w:lang w:val="en-GB"/>
        </w:rPr>
      </w:pPr>
      <w:r w:rsidRPr="005E2F5C">
        <w:rPr>
          <w:lang w:val="en-GB"/>
        </w:rPr>
        <w:t xml:space="preserve">complaints and </w:t>
      </w:r>
      <w:r w:rsidR="00560C5A" w:rsidRPr="005E2F5C">
        <w:rPr>
          <w:lang w:val="en-GB"/>
        </w:rPr>
        <w:t>Appeals</w:t>
      </w:r>
    </w:p>
    <w:p w14:paraId="1EE9FD05" w14:textId="543957C6" w:rsidR="004A7079" w:rsidRDefault="004A7079" w:rsidP="00D02D53">
      <w:pPr>
        <w:jc w:val="both"/>
        <w:rPr>
          <w:lang w:val="en-GB"/>
        </w:rPr>
      </w:pPr>
      <w:r w:rsidRPr="002B4E24">
        <w:rPr>
          <w:rFonts w:eastAsia="Calibri" w:cs="Calibri"/>
          <w:bCs/>
          <w:lang w:val="en-GB"/>
        </w:rPr>
        <w:t xml:space="preserve">The Fund Operator </w:t>
      </w:r>
      <w:r w:rsidR="008F7533">
        <w:rPr>
          <w:rFonts w:eastAsia="Calibri" w:cs="Calibri"/>
          <w:bCs/>
          <w:lang w:val="en-GB"/>
        </w:rPr>
        <w:t>will</w:t>
      </w:r>
      <w:r w:rsidRPr="002B4E24">
        <w:rPr>
          <w:rFonts w:eastAsia="Calibri" w:cs="Calibri"/>
          <w:bCs/>
          <w:lang w:val="en-GB"/>
        </w:rPr>
        <w:t xml:space="preserve"> establish the Complaints Committee</w:t>
      </w:r>
      <w:r w:rsidR="002C75A2">
        <w:rPr>
          <w:rFonts w:eastAsia="Calibri" w:cs="Calibri"/>
          <w:bCs/>
          <w:lang w:val="en-GB"/>
        </w:rPr>
        <w:t xml:space="preserve"> with the objective </w:t>
      </w:r>
      <w:r w:rsidR="00C4556A">
        <w:rPr>
          <w:rFonts w:eastAsia="Calibri" w:cs="Calibri"/>
          <w:bCs/>
          <w:lang w:val="en-GB"/>
        </w:rPr>
        <w:t>of</w:t>
      </w:r>
      <w:r>
        <w:rPr>
          <w:lang w:val="en-GB"/>
        </w:rPr>
        <w:t>:</w:t>
      </w:r>
    </w:p>
    <w:p w14:paraId="119C5DCB" w14:textId="646E83E5" w:rsidR="004A7079" w:rsidRDefault="00C4556A" w:rsidP="00D02D53">
      <w:pPr>
        <w:pStyle w:val="ListParagraph"/>
        <w:numPr>
          <w:ilvl w:val="0"/>
          <w:numId w:val="33"/>
        </w:numPr>
        <w:spacing w:after="160" w:line="259" w:lineRule="auto"/>
        <w:jc w:val="both"/>
        <w:rPr>
          <w:lang w:val="en-GB"/>
        </w:rPr>
      </w:pPr>
      <w:r>
        <w:rPr>
          <w:lang w:val="en-GB"/>
        </w:rPr>
        <w:t xml:space="preserve">To </w:t>
      </w:r>
      <w:r w:rsidR="004A7079">
        <w:rPr>
          <w:lang w:val="en-GB"/>
        </w:rPr>
        <w:t>provide an accessible, transparent</w:t>
      </w:r>
      <w:r w:rsidR="00F80470">
        <w:rPr>
          <w:lang w:val="en-GB"/>
        </w:rPr>
        <w:t>,</w:t>
      </w:r>
      <w:r w:rsidR="004A7079">
        <w:rPr>
          <w:lang w:val="en-GB"/>
        </w:rPr>
        <w:t xml:space="preserve"> and consistent mechanism for complainants to express concerns regarding a supposed occurrence of mismanagement</w:t>
      </w:r>
    </w:p>
    <w:p w14:paraId="36C6F855" w14:textId="3825780D" w:rsidR="004A7079" w:rsidRDefault="00C4556A" w:rsidP="00D02D53">
      <w:pPr>
        <w:pStyle w:val="ListParagraph"/>
        <w:numPr>
          <w:ilvl w:val="0"/>
          <w:numId w:val="33"/>
        </w:numPr>
        <w:spacing w:after="160" w:line="259" w:lineRule="auto"/>
        <w:jc w:val="both"/>
        <w:rPr>
          <w:lang w:val="en-GB"/>
        </w:rPr>
      </w:pPr>
      <w:r>
        <w:rPr>
          <w:lang w:val="en-GB"/>
        </w:rPr>
        <w:t xml:space="preserve">To </w:t>
      </w:r>
      <w:r w:rsidR="004A7079">
        <w:rPr>
          <w:lang w:val="en-GB"/>
        </w:rPr>
        <w:t>assess each complaint submitted to it in a timely and effective manner</w:t>
      </w:r>
    </w:p>
    <w:p w14:paraId="0A31A894" w14:textId="74919099" w:rsidR="004A7079" w:rsidRDefault="00C4556A" w:rsidP="00D02D53">
      <w:pPr>
        <w:pStyle w:val="ListParagraph"/>
        <w:numPr>
          <w:ilvl w:val="0"/>
          <w:numId w:val="33"/>
        </w:numPr>
        <w:spacing w:after="160" w:line="259" w:lineRule="auto"/>
        <w:jc w:val="both"/>
        <w:rPr>
          <w:lang w:val="en-GB"/>
        </w:rPr>
      </w:pPr>
      <w:r>
        <w:rPr>
          <w:lang w:val="en-GB"/>
        </w:rPr>
        <w:t xml:space="preserve">To </w:t>
      </w:r>
      <w:r w:rsidR="004A7079">
        <w:rPr>
          <w:lang w:val="en-GB"/>
        </w:rPr>
        <w:t>provide guidance and recommendations regarding follow-up, and</w:t>
      </w:r>
    </w:p>
    <w:p w14:paraId="2E1CE51F" w14:textId="36A8BCD6" w:rsidR="004A7079" w:rsidRDefault="00C4556A" w:rsidP="00D02D53">
      <w:pPr>
        <w:pStyle w:val="ListParagraph"/>
        <w:numPr>
          <w:ilvl w:val="0"/>
          <w:numId w:val="33"/>
        </w:numPr>
        <w:spacing w:after="160" w:line="259" w:lineRule="auto"/>
        <w:jc w:val="both"/>
        <w:rPr>
          <w:lang w:val="en-GB"/>
        </w:rPr>
      </w:pPr>
      <w:r>
        <w:rPr>
          <w:lang w:val="en-GB"/>
        </w:rPr>
        <w:t xml:space="preserve">To </w:t>
      </w:r>
      <w:r w:rsidR="004A7079">
        <w:rPr>
          <w:lang w:val="en-GB"/>
        </w:rPr>
        <w:t>report back to the complainant on corrective actions when applicable to resolve any assumed incidents of mismanagement.</w:t>
      </w:r>
    </w:p>
    <w:p w14:paraId="76F47F85" w14:textId="5348E41F" w:rsidR="002C75A2" w:rsidRPr="008F7533" w:rsidRDefault="002C75A2" w:rsidP="00D02D53">
      <w:pPr>
        <w:jc w:val="both"/>
        <w:rPr>
          <w:rFonts w:eastAsia="Calibri" w:cs="Calibri"/>
          <w:bCs/>
          <w:lang w:val="en-GB"/>
        </w:rPr>
      </w:pPr>
      <w:r w:rsidRPr="002C75A2">
        <w:rPr>
          <w:rFonts w:eastAsia="Calibri" w:cs="Calibri"/>
          <w:bCs/>
          <w:lang w:val="en-GB"/>
        </w:rPr>
        <w:t xml:space="preserve">The Complaints Committee will assess whether the decisions taken by the FO adhere to the </w:t>
      </w:r>
      <w:r w:rsidRPr="00C4556A">
        <w:rPr>
          <w:rFonts w:eastAsia="Calibri" w:cs="Calibri"/>
          <w:bCs/>
          <w:u w:val="single"/>
          <w:lang w:val="en-GB"/>
        </w:rPr>
        <w:t>principles of good governance</w:t>
      </w:r>
      <w:r w:rsidRPr="002C75A2">
        <w:rPr>
          <w:rFonts w:eastAsia="Calibri" w:cs="Calibri"/>
          <w:bCs/>
          <w:lang w:val="en-GB"/>
        </w:rPr>
        <w:t xml:space="preserve"> and </w:t>
      </w:r>
      <w:r w:rsidRPr="00C4556A">
        <w:rPr>
          <w:rFonts w:eastAsia="Calibri" w:cs="Calibri"/>
          <w:bCs/>
          <w:u w:val="single"/>
          <w:lang w:val="en-GB"/>
        </w:rPr>
        <w:t>rules and procedures</w:t>
      </w:r>
      <w:r w:rsidRPr="002C75A2">
        <w:rPr>
          <w:rFonts w:eastAsia="Calibri" w:cs="Calibri"/>
          <w:bCs/>
          <w:lang w:val="en-GB"/>
        </w:rPr>
        <w:t xml:space="preserve"> established for the management of the ACF. It will not assess any concrete project applications, change the scores of independent evaluators nor change the decisions made by the Selection Committee and the Board of the Open Estonia Foundation regarding the allocation of grants.</w:t>
      </w:r>
    </w:p>
    <w:p w14:paraId="6CDBB491" w14:textId="17ACF4C0" w:rsidR="004A7079" w:rsidRDefault="004A7079" w:rsidP="00D02D53">
      <w:pPr>
        <w:jc w:val="both"/>
        <w:rPr>
          <w:rFonts w:eastAsia="Calibri" w:cs="Calibri"/>
          <w:bCs/>
          <w:lang w:val="en-GB"/>
        </w:rPr>
      </w:pPr>
      <w:r w:rsidRPr="002B4E24">
        <w:rPr>
          <w:rFonts w:eastAsia="Calibri" w:cs="Calibri"/>
          <w:bCs/>
          <w:lang w:val="en-GB"/>
        </w:rPr>
        <w:t xml:space="preserve">The Complaints Committee </w:t>
      </w:r>
      <w:r>
        <w:rPr>
          <w:rFonts w:eastAsia="Calibri" w:cs="Calibri"/>
          <w:bCs/>
          <w:lang w:val="en-GB"/>
        </w:rPr>
        <w:t>wi</w:t>
      </w:r>
      <w:r w:rsidRPr="002B4E24">
        <w:rPr>
          <w:rFonts w:eastAsia="Calibri" w:cs="Calibri"/>
          <w:bCs/>
          <w:lang w:val="en-GB"/>
        </w:rPr>
        <w:t xml:space="preserve">ll consist of three members: Programme Manager of the Fund Operator, member of the Executive Board of the Fund </w:t>
      </w:r>
      <w:r w:rsidR="00B04A2E">
        <w:rPr>
          <w:rFonts w:eastAsia="Calibri" w:cs="Calibri"/>
          <w:bCs/>
          <w:lang w:val="en-GB"/>
        </w:rPr>
        <w:t xml:space="preserve">Operator </w:t>
      </w:r>
      <w:r w:rsidRPr="002B4E24">
        <w:rPr>
          <w:rFonts w:eastAsia="Calibri" w:cs="Calibri"/>
          <w:bCs/>
          <w:lang w:val="en-GB"/>
        </w:rPr>
        <w:t>and an independent expert, external to the Fund</w:t>
      </w:r>
      <w:r w:rsidR="00B04A2E">
        <w:rPr>
          <w:rFonts w:eastAsia="Calibri" w:cs="Calibri"/>
          <w:bCs/>
          <w:lang w:val="en-GB"/>
        </w:rPr>
        <w:t xml:space="preserve"> Operator</w:t>
      </w:r>
      <w:r w:rsidRPr="002B4E24">
        <w:rPr>
          <w:rFonts w:eastAsia="Calibri" w:cs="Calibri"/>
          <w:bCs/>
          <w:lang w:val="en-GB"/>
        </w:rPr>
        <w:t>.</w:t>
      </w:r>
      <w:r>
        <w:rPr>
          <w:rFonts w:eastAsia="Calibri" w:cs="Calibri"/>
          <w:bCs/>
          <w:lang w:val="en-GB"/>
        </w:rPr>
        <w:t xml:space="preserve"> Programme staff responsible for assessing the </w:t>
      </w:r>
      <w:proofErr w:type="gramStart"/>
      <w:r>
        <w:rPr>
          <w:rFonts w:eastAsia="Calibri" w:cs="Calibri"/>
          <w:bCs/>
          <w:lang w:val="en-GB"/>
        </w:rPr>
        <w:t>particular project</w:t>
      </w:r>
      <w:proofErr w:type="gramEnd"/>
      <w:r>
        <w:rPr>
          <w:rFonts w:eastAsia="Calibri" w:cs="Calibri"/>
          <w:bCs/>
          <w:lang w:val="en-GB"/>
        </w:rPr>
        <w:t xml:space="preserve"> application or monitoring the particular project in question shall be excluded from the Complaints Committee. </w:t>
      </w:r>
    </w:p>
    <w:p w14:paraId="43AAFEA9" w14:textId="77777777" w:rsidR="004A7079" w:rsidRDefault="004A7079" w:rsidP="00D02D53">
      <w:pPr>
        <w:jc w:val="both"/>
        <w:rPr>
          <w:rFonts w:eastAsia="Calibri" w:cs="Calibri"/>
          <w:bCs/>
          <w:lang w:val="en-GB"/>
        </w:rPr>
      </w:pPr>
      <w:r>
        <w:rPr>
          <w:rFonts w:eastAsia="Calibri" w:cs="Calibri"/>
          <w:bCs/>
          <w:lang w:val="en-GB"/>
        </w:rPr>
        <w:t>All complaints and alerts related to the implementation of the Programme will be first considered by the Fund Operator. In case a person who submitted a complaint or an alert is not satisfied with the response, he or she has a right to refer the case to the Complaints Committee who will assess the complaint and conclude on the case.</w:t>
      </w:r>
    </w:p>
    <w:p w14:paraId="3C2F50B2" w14:textId="5A25FB57" w:rsidR="004A7079" w:rsidRDefault="004A7079" w:rsidP="00D02D53">
      <w:pPr>
        <w:jc w:val="both"/>
        <w:rPr>
          <w:lang w:val="en-GB"/>
        </w:rPr>
      </w:pPr>
      <w:r w:rsidRPr="002B4E24">
        <w:rPr>
          <w:lang w:val="en-GB"/>
        </w:rPr>
        <w:t xml:space="preserve">Information on how to submit complaints </w:t>
      </w:r>
      <w:r w:rsidR="00265930">
        <w:rPr>
          <w:lang w:val="en-GB"/>
        </w:rPr>
        <w:t xml:space="preserve">is available </w:t>
      </w:r>
      <w:r w:rsidRPr="002B4E24">
        <w:rPr>
          <w:lang w:val="en-GB"/>
        </w:rPr>
        <w:t xml:space="preserve">on </w:t>
      </w:r>
      <w:hyperlink r:id="rId14" w:history="1">
        <w:r w:rsidRPr="007927B3">
          <w:rPr>
            <w:rStyle w:val="Hyperlink"/>
            <w:lang w:val="en-GB"/>
          </w:rPr>
          <w:t>the website</w:t>
        </w:r>
      </w:hyperlink>
      <w:r w:rsidRPr="007927B3">
        <w:rPr>
          <w:lang w:val="en-GB"/>
        </w:rPr>
        <w:t xml:space="preserve"> of the</w:t>
      </w:r>
      <w:r w:rsidRPr="002B4E24">
        <w:rPr>
          <w:lang w:val="en-GB"/>
        </w:rPr>
        <w:t xml:space="preserve"> Fund Operator.</w:t>
      </w:r>
    </w:p>
    <w:p w14:paraId="1B9A2ED0" w14:textId="4EA9777A" w:rsidR="00DE0FC1" w:rsidRDefault="00DE0FC1" w:rsidP="00D02D53">
      <w:pPr>
        <w:jc w:val="both"/>
        <w:rPr>
          <w:lang w:val="en-GB"/>
        </w:rPr>
      </w:pPr>
    </w:p>
    <w:p w14:paraId="56596819" w14:textId="7D907BB5" w:rsidR="00DE0FC1" w:rsidRPr="005E2F5C" w:rsidRDefault="00DE0FC1" w:rsidP="00D02D53">
      <w:pPr>
        <w:pStyle w:val="Heading1"/>
        <w:jc w:val="both"/>
        <w:rPr>
          <w:lang w:val="en-GB"/>
        </w:rPr>
      </w:pPr>
      <w:r w:rsidRPr="005E2F5C">
        <w:rPr>
          <w:lang w:val="en-GB"/>
        </w:rPr>
        <w:t>Questions and Answers</w:t>
      </w:r>
    </w:p>
    <w:p w14:paraId="207B627E" w14:textId="77777777" w:rsidR="00DE0FC1" w:rsidRPr="00C02729" w:rsidRDefault="00DE0FC1" w:rsidP="00D02D53">
      <w:pPr>
        <w:pStyle w:val="Default"/>
        <w:jc w:val="both"/>
        <w:rPr>
          <w:sz w:val="22"/>
          <w:szCs w:val="22"/>
          <w:lang w:val="en-GB"/>
        </w:rPr>
      </w:pPr>
      <w:r w:rsidRPr="00C02729">
        <w:rPr>
          <w:sz w:val="22"/>
          <w:szCs w:val="22"/>
          <w:lang w:val="en-GB"/>
        </w:rPr>
        <w:t xml:space="preserve">Questions </w:t>
      </w:r>
      <w:r>
        <w:rPr>
          <w:sz w:val="22"/>
          <w:szCs w:val="22"/>
          <w:lang w:val="en-GB"/>
        </w:rPr>
        <w:t xml:space="preserve">should </w:t>
      </w:r>
      <w:r w:rsidRPr="00C02729">
        <w:rPr>
          <w:sz w:val="22"/>
          <w:szCs w:val="22"/>
          <w:lang w:val="en-GB"/>
        </w:rPr>
        <w:t>be sent to the OEF no later than five working days before the deadline for the submission of applications.</w:t>
      </w:r>
      <w:r>
        <w:rPr>
          <w:sz w:val="22"/>
          <w:szCs w:val="22"/>
          <w:lang w:val="en-GB"/>
        </w:rPr>
        <w:t xml:space="preserve"> </w:t>
      </w:r>
      <w:r w:rsidRPr="00C02729">
        <w:rPr>
          <w:sz w:val="22"/>
          <w:szCs w:val="22"/>
          <w:lang w:val="en-GB"/>
        </w:rPr>
        <w:t xml:space="preserve">The questions must be sent by email to </w:t>
      </w:r>
      <w:hyperlink r:id="rId15" w:history="1">
        <w:r w:rsidRPr="00C02729">
          <w:rPr>
            <w:rStyle w:val="Hyperlink"/>
            <w:sz w:val="22"/>
            <w:szCs w:val="22"/>
            <w:lang w:val="en-GB"/>
          </w:rPr>
          <w:t>acf@oef.org.ee</w:t>
        </w:r>
      </w:hyperlink>
      <w:r w:rsidRPr="00C02729">
        <w:rPr>
          <w:sz w:val="22"/>
          <w:szCs w:val="22"/>
          <w:lang w:val="en-GB"/>
        </w:rPr>
        <w:t xml:space="preserve"> indicating in the subject line the organisation’s name. </w:t>
      </w:r>
    </w:p>
    <w:p w14:paraId="387E4115" w14:textId="77777777" w:rsidR="00DE0FC1" w:rsidRPr="00C02729" w:rsidRDefault="00DE0FC1" w:rsidP="00D02D53">
      <w:pPr>
        <w:pStyle w:val="Default"/>
        <w:jc w:val="both"/>
        <w:rPr>
          <w:sz w:val="22"/>
          <w:szCs w:val="22"/>
          <w:lang w:val="en-GB"/>
        </w:rPr>
      </w:pPr>
    </w:p>
    <w:p w14:paraId="5E939D24" w14:textId="77777777" w:rsidR="00DE0FC1" w:rsidRPr="00C02729" w:rsidRDefault="00DE0FC1" w:rsidP="00D02D53">
      <w:pPr>
        <w:pStyle w:val="Default"/>
        <w:jc w:val="both"/>
        <w:rPr>
          <w:sz w:val="22"/>
          <w:szCs w:val="22"/>
          <w:lang w:val="en-GB"/>
        </w:rPr>
      </w:pPr>
      <w:r w:rsidRPr="00C02729">
        <w:rPr>
          <w:sz w:val="22"/>
          <w:szCs w:val="22"/>
          <w:lang w:val="en-GB"/>
        </w:rPr>
        <w:t xml:space="preserve">Questions and answers will be published on the Active Citizens Fund Estonia website. No reference will be made to the name of the organisation who submitted the concrete question. It is therefore advisable to consult the website regularly. </w:t>
      </w:r>
    </w:p>
    <w:p w14:paraId="6000581A" w14:textId="77777777" w:rsidR="00DE0FC1" w:rsidRPr="00C02729" w:rsidRDefault="00DE0FC1" w:rsidP="00D02D53">
      <w:pPr>
        <w:pStyle w:val="Default"/>
        <w:jc w:val="both"/>
        <w:rPr>
          <w:sz w:val="22"/>
          <w:szCs w:val="22"/>
          <w:lang w:val="en-GB"/>
        </w:rPr>
      </w:pPr>
    </w:p>
    <w:p w14:paraId="59241AD7" w14:textId="3BFE5371" w:rsidR="00D62990" w:rsidRPr="005E2F5C" w:rsidRDefault="00DE0FC1" w:rsidP="00626E3F">
      <w:pPr>
        <w:rPr>
          <w:lang w:val="en-GB"/>
        </w:rPr>
      </w:pPr>
      <w:r w:rsidRPr="00C02729">
        <w:rPr>
          <w:lang w:val="en-GB"/>
        </w:rPr>
        <w:t xml:space="preserve">To ensure equal treatment of bidders, the OEF cannot give a prior opinion on the eligibility of applicants, an </w:t>
      </w:r>
      <w:proofErr w:type="gramStart"/>
      <w:r w:rsidRPr="00C02729">
        <w:rPr>
          <w:lang w:val="en-GB"/>
        </w:rPr>
        <w:t>action</w:t>
      </w:r>
      <w:proofErr w:type="gramEnd"/>
      <w:r w:rsidRPr="00C02729">
        <w:rPr>
          <w:lang w:val="en-GB"/>
        </w:rPr>
        <w:t xml:space="preserve"> or specific activities.</w:t>
      </w:r>
    </w:p>
    <w:sectPr w:rsidR="00D62990" w:rsidRPr="005E2F5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8371" w14:textId="77777777" w:rsidR="00580A71" w:rsidRDefault="00580A71" w:rsidP="00997E35">
      <w:pPr>
        <w:spacing w:after="0"/>
      </w:pPr>
      <w:r>
        <w:separator/>
      </w:r>
    </w:p>
  </w:endnote>
  <w:endnote w:type="continuationSeparator" w:id="0">
    <w:p w14:paraId="5C2CE847" w14:textId="77777777" w:rsidR="00580A71" w:rsidRDefault="00580A71" w:rsidP="00997E35">
      <w:pPr>
        <w:spacing w:after="0"/>
      </w:pPr>
      <w:r>
        <w:continuationSeparator/>
      </w:r>
    </w:p>
  </w:endnote>
  <w:endnote w:type="continuationNotice" w:id="1">
    <w:p w14:paraId="0E7501A3" w14:textId="77777777" w:rsidR="00580A71" w:rsidRDefault="00580A7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MS Minch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57859"/>
      <w:docPartObj>
        <w:docPartGallery w:val="Page Numbers (Bottom of Page)"/>
        <w:docPartUnique/>
      </w:docPartObj>
    </w:sdtPr>
    <w:sdtEndPr/>
    <w:sdtContent>
      <w:p w14:paraId="632231A1" w14:textId="1875CA02" w:rsidR="00CF02AD" w:rsidRDefault="00CF02AD">
        <w:pPr>
          <w:pStyle w:val="Footer"/>
          <w:jc w:val="right"/>
        </w:pPr>
        <w:r>
          <w:fldChar w:fldCharType="begin"/>
        </w:r>
        <w:r>
          <w:instrText>PAGE   \* MERGEFORMAT</w:instrText>
        </w:r>
        <w:r>
          <w:fldChar w:fldCharType="separate"/>
        </w:r>
        <w:r>
          <w:rPr>
            <w:lang w:val="et-EE"/>
          </w:rPr>
          <w:t>2</w:t>
        </w:r>
        <w:r>
          <w:fldChar w:fldCharType="end"/>
        </w:r>
      </w:p>
    </w:sdtContent>
  </w:sdt>
  <w:p w14:paraId="170A6996" w14:textId="77777777" w:rsidR="00CF02AD" w:rsidRDefault="00CF0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A30FD" w14:textId="77777777" w:rsidR="00580A71" w:rsidRDefault="00580A71" w:rsidP="00997E35">
      <w:pPr>
        <w:spacing w:after="0"/>
      </w:pPr>
      <w:r>
        <w:separator/>
      </w:r>
    </w:p>
  </w:footnote>
  <w:footnote w:type="continuationSeparator" w:id="0">
    <w:p w14:paraId="7C773C7B" w14:textId="77777777" w:rsidR="00580A71" w:rsidRDefault="00580A71" w:rsidP="00997E35">
      <w:pPr>
        <w:spacing w:after="0"/>
      </w:pPr>
      <w:r>
        <w:continuationSeparator/>
      </w:r>
    </w:p>
  </w:footnote>
  <w:footnote w:type="continuationNotice" w:id="1">
    <w:p w14:paraId="2145D157" w14:textId="77777777" w:rsidR="00580A71" w:rsidRDefault="00580A71">
      <w:pPr>
        <w:spacing w:after="0"/>
      </w:pPr>
    </w:p>
  </w:footnote>
  <w:footnote w:id="2">
    <w:p w14:paraId="016F2700" w14:textId="4C438A67" w:rsidR="00353E48" w:rsidRPr="006D6F93" w:rsidRDefault="00353E48">
      <w:pPr>
        <w:pStyle w:val="FootnoteText"/>
        <w:rPr>
          <w:lang w:val="en-GB"/>
        </w:rPr>
      </w:pPr>
      <w:r w:rsidRPr="006D6F93">
        <w:rPr>
          <w:rStyle w:val="FootnoteReference"/>
          <w:lang w:val="en-GB"/>
        </w:rPr>
        <w:footnoteRef/>
      </w:r>
      <w:r w:rsidRPr="006D6F93">
        <w:rPr>
          <w:lang w:val="en-GB"/>
        </w:rPr>
        <w:t xml:space="preserve"> </w:t>
      </w:r>
      <w:r w:rsidR="00C9702D" w:rsidRPr="006D6F93">
        <w:rPr>
          <w:lang w:val="en-GB"/>
        </w:rPr>
        <w:t xml:space="preserve">1. </w:t>
      </w:r>
      <w:r w:rsidR="00070546" w:rsidRPr="006D6F93">
        <w:rPr>
          <w:lang w:val="en-GB"/>
        </w:rPr>
        <w:t>The Programme</w:t>
      </w:r>
      <w:r w:rsidR="00E02EA8" w:rsidRPr="006D6F93">
        <w:rPr>
          <w:lang w:val="en-GB"/>
        </w:rPr>
        <w:t xml:space="preserve"> shall be based on the common values of respect for human dignity, freedom, democracy</w:t>
      </w:r>
      <w:r w:rsidR="00D23792" w:rsidRPr="006D6F93">
        <w:rPr>
          <w:lang w:val="en-GB"/>
        </w:rPr>
        <w:t xml:space="preserve">, equality, the rule of law and respect for human rights, including the rights of persons </w:t>
      </w:r>
      <w:r w:rsidR="00652CB0" w:rsidRPr="006D6F93">
        <w:rPr>
          <w:lang w:val="en-GB"/>
        </w:rPr>
        <w:t>belonging to minorities</w:t>
      </w:r>
      <w:r w:rsidR="00C9702D" w:rsidRPr="006D6F93">
        <w:rPr>
          <w:lang w:val="en-GB"/>
        </w:rPr>
        <w:t>.</w:t>
      </w:r>
    </w:p>
    <w:p w14:paraId="5BDD2BFB" w14:textId="7A189C74" w:rsidR="00C9702D" w:rsidRPr="006D6F93" w:rsidRDefault="00C9702D">
      <w:pPr>
        <w:pStyle w:val="FootnoteText"/>
        <w:rPr>
          <w:lang w:val="en-GB"/>
        </w:rPr>
      </w:pPr>
      <w:r w:rsidRPr="006D6F93">
        <w:rPr>
          <w:lang w:val="en-GB"/>
        </w:rPr>
        <w:t xml:space="preserve">2. </w:t>
      </w:r>
      <w:r w:rsidR="00957D5D" w:rsidRPr="006D6F93">
        <w:rPr>
          <w:lang w:val="en-GB"/>
        </w:rPr>
        <w:t>The Programme shall follow the principles of good governance; it shall be participatory and inclusive</w:t>
      </w:r>
      <w:r w:rsidR="001E68A6" w:rsidRPr="006D6F93">
        <w:rPr>
          <w:lang w:val="en-GB"/>
        </w:rPr>
        <w:t xml:space="preserve">, accountable, transparent, responsive, </w:t>
      </w:r>
      <w:proofErr w:type="gramStart"/>
      <w:r w:rsidR="001E68A6" w:rsidRPr="006D6F93">
        <w:rPr>
          <w:lang w:val="en-GB"/>
        </w:rPr>
        <w:t>effective</w:t>
      </w:r>
      <w:proofErr w:type="gramEnd"/>
      <w:r w:rsidR="001E68A6" w:rsidRPr="006D6F93">
        <w:rPr>
          <w:lang w:val="en-GB"/>
        </w:rPr>
        <w:t xml:space="preserve"> and efficient. There shall be zero-tolerance towards corruption.</w:t>
      </w:r>
    </w:p>
    <w:p w14:paraId="658CC7F0" w14:textId="71635BF0" w:rsidR="001E68A6" w:rsidRDefault="001E68A6">
      <w:pPr>
        <w:pStyle w:val="FootnoteText"/>
        <w:rPr>
          <w:lang w:val="en-GB"/>
        </w:rPr>
      </w:pPr>
      <w:r w:rsidRPr="006D6F93">
        <w:rPr>
          <w:lang w:val="en-GB"/>
        </w:rPr>
        <w:t>3. The Programme</w:t>
      </w:r>
      <w:r w:rsidR="006D6F93" w:rsidRPr="006D6F93">
        <w:rPr>
          <w:lang w:val="en-GB"/>
        </w:rPr>
        <w:t xml:space="preserve"> shall be consistent with sustainable </w:t>
      </w:r>
      <w:r w:rsidR="00E40686">
        <w:rPr>
          <w:lang w:val="en-GB"/>
        </w:rPr>
        <w:t xml:space="preserve">development, long-term economic growth, social </w:t>
      </w:r>
      <w:proofErr w:type="gramStart"/>
      <w:r w:rsidR="00E40686">
        <w:rPr>
          <w:lang w:val="en-GB"/>
        </w:rPr>
        <w:t>cohesion</w:t>
      </w:r>
      <w:proofErr w:type="gramEnd"/>
      <w:r w:rsidR="00E40686">
        <w:rPr>
          <w:lang w:val="en-GB"/>
        </w:rPr>
        <w:t xml:space="preserve"> and environmental protection.</w:t>
      </w:r>
    </w:p>
    <w:p w14:paraId="06E09ABB" w14:textId="7C90D180" w:rsidR="00E40686" w:rsidRPr="006D6F93" w:rsidRDefault="007F664F">
      <w:pPr>
        <w:pStyle w:val="FootnoteText"/>
        <w:rPr>
          <w:lang w:val="en-GB"/>
        </w:rPr>
      </w:pPr>
      <w:r>
        <w:rPr>
          <w:lang w:val="en-GB"/>
        </w:rPr>
        <w:t>4. The Programme shall follow a results and risk management approach.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91A3"/>
    <w:multiLevelType w:val="hybridMultilevel"/>
    <w:tmpl w:val="D5C49B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11B071"/>
    <w:multiLevelType w:val="hybridMultilevel"/>
    <w:tmpl w:val="36A51C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E10F87"/>
    <w:multiLevelType w:val="hybridMultilevel"/>
    <w:tmpl w:val="7AD830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497454B"/>
    <w:multiLevelType w:val="multilevel"/>
    <w:tmpl w:val="D6BC883A"/>
    <w:lvl w:ilvl="0">
      <w:start w:val="1"/>
      <w:numFmt w:val="decimal"/>
      <w:pStyle w:val="Heading1"/>
      <w:lvlText w:val="%1"/>
      <w:lvlJc w:val="left"/>
      <w:pPr>
        <w:tabs>
          <w:tab w:val="num" w:pos="432"/>
        </w:tabs>
        <w:ind w:left="432" w:hanging="432"/>
      </w:pPr>
      <w:rPr>
        <w:rFonts w:ascii="Calibri" w:hAnsi="Calibri" w:cs="Times New Roman" w:hint="default"/>
      </w:rPr>
    </w:lvl>
    <w:lvl w:ilvl="1">
      <w:start w:val="1"/>
      <w:numFmt w:val="decimal"/>
      <w:pStyle w:val="Heading2"/>
      <w:lvlText w:val="%1.%2"/>
      <w:lvlJc w:val="left"/>
      <w:pPr>
        <w:tabs>
          <w:tab w:val="num" w:pos="576"/>
        </w:tabs>
        <w:ind w:left="576" w:hanging="576"/>
      </w:pPr>
      <w:rPr>
        <w:b/>
      </w:rPr>
    </w:lvl>
    <w:lvl w:ilvl="2">
      <w:start w:val="1"/>
      <w:numFmt w:val="decimal"/>
      <w:pStyle w:val="Heading3"/>
      <w:lvlText w:val="%3."/>
      <w:lvlJc w:val="left"/>
      <w:pPr>
        <w:tabs>
          <w:tab w:val="num" w:pos="720"/>
        </w:tabs>
        <w:ind w:left="720" w:hanging="720"/>
      </w:pPr>
      <w:rPr>
        <w:rFonts w:asciiTheme="minorHAnsi" w:eastAsia="Times New Roman" w:hAnsiTheme="minorHAnsi" w:cs="Times New Roman"/>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E120A15"/>
    <w:multiLevelType w:val="hybridMultilevel"/>
    <w:tmpl w:val="C7C217D6"/>
    <w:lvl w:ilvl="0" w:tplc="3A5C2706">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E1916F2"/>
    <w:multiLevelType w:val="multilevel"/>
    <w:tmpl w:val="EFC88AD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3215FA"/>
    <w:multiLevelType w:val="hybridMultilevel"/>
    <w:tmpl w:val="73FCE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582E55"/>
    <w:multiLevelType w:val="hybridMultilevel"/>
    <w:tmpl w:val="ADE47B68"/>
    <w:lvl w:ilvl="0" w:tplc="B6C8A70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73561"/>
    <w:multiLevelType w:val="hybridMultilevel"/>
    <w:tmpl w:val="FB3CE7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9691153"/>
    <w:multiLevelType w:val="hybridMultilevel"/>
    <w:tmpl w:val="9D94BF3A"/>
    <w:lvl w:ilvl="0" w:tplc="3A5C270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1DAE6582"/>
    <w:multiLevelType w:val="hybridMultilevel"/>
    <w:tmpl w:val="DA2ED16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E41AF6F"/>
    <w:multiLevelType w:val="hybridMultilevel"/>
    <w:tmpl w:val="35DD85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0EC077B"/>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1E315BC"/>
    <w:multiLevelType w:val="hybridMultilevel"/>
    <w:tmpl w:val="D5940CB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219338F"/>
    <w:multiLevelType w:val="hybridMultilevel"/>
    <w:tmpl w:val="99DC1248"/>
    <w:lvl w:ilvl="0" w:tplc="7804930C">
      <w:start w:val="4"/>
      <w:numFmt w:val="bullet"/>
      <w:lvlText w:val="-"/>
      <w:lvlJc w:val="left"/>
      <w:pPr>
        <w:ind w:left="72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655163B"/>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8734164"/>
    <w:multiLevelType w:val="hybridMultilevel"/>
    <w:tmpl w:val="FB98ACDA"/>
    <w:lvl w:ilvl="0" w:tplc="C9484476">
      <w:start w:val="1"/>
      <w:numFmt w:val="lowerLetter"/>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DE56B2"/>
    <w:multiLevelType w:val="hybridMultilevel"/>
    <w:tmpl w:val="E2F211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C4B40FB"/>
    <w:multiLevelType w:val="hybridMultilevel"/>
    <w:tmpl w:val="7E4CBC20"/>
    <w:lvl w:ilvl="0" w:tplc="E730A1E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CB4BB26"/>
    <w:multiLevelType w:val="hybridMultilevel"/>
    <w:tmpl w:val="68FEC1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16624D5"/>
    <w:multiLevelType w:val="hybridMultilevel"/>
    <w:tmpl w:val="708409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995339"/>
    <w:multiLevelType w:val="hybridMultilevel"/>
    <w:tmpl w:val="C79886A4"/>
    <w:lvl w:ilvl="0" w:tplc="E3CA7BE4">
      <w:start w:val="1"/>
      <w:numFmt w:val="lowerLetter"/>
      <w:pStyle w:val="Sub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8F15E8"/>
    <w:multiLevelType w:val="hybridMultilevel"/>
    <w:tmpl w:val="434659B0"/>
    <w:lvl w:ilvl="0" w:tplc="04250003">
      <w:start w:val="1"/>
      <w:numFmt w:val="bullet"/>
      <w:lvlText w:val="o"/>
      <w:lvlJc w:val="left"/>
      <w:pPr>
        <w:ind w:left="1440" w:hanging="360"/>
      </w:pPr>
      <w:rPr>
        <w:rFonts w:ascii="Courier New" w:hAnsi="Courier New" w:cs="Courier New"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3" w15:restartNumberingAfterBreak="0">
    <w:nsid w:val="4FD3053C"/>
    <w:multiLevelType w:val="hybridMultilevel"/>
    <w:tmpl w:val="EC368754"/>
    <w:lvl w:ilvl="0" w:tplc="1510766E">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2FC6571"/>
    <w:multiLevelType w:val="hybridMultilevel"/>
    <w:tmpl w:val="83B8C03A"/>
    <w:lvl w:ilvl="0" w:tplc="289C51C6">
      <w:start w:val="4"/>
      <w:numFmt w:val="bullet"/>
      <w:lvlText w:val="-"/>
      <w:lvlJc w:val="left"/>
      <w:pPr>
        <w:ind w:left="720" w:hanging="360"/>
      </w:pPr>
      <w:rPr>
        <w:rFonts w:ascii="Calibri" w:eastAsiaTheme="minorHAnsi" w:hAnsi="Calibri" w:cs="Calibri"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3DE3A3B"/>
    <w:multiLevelType w:val="hybridMultilevel"/>
    <w:tmpl w:val="42788A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4174F4E"/>
    <w:multiLevelType w:val="multilevel"/>
    <w:tmpl w:val="BA5CC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6F41DBD"/>
    <w:multiLevelType w:val="hybridMultilevel"/>
    <w:tmpl w:val="51E88DD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15:restartNumberingAfterBreak="0">
    <w:nsid w:val="576200DC"/>
    <w:multiLevelType w:val="hybridMultilevel"/>
    <w:tmpl w:val="310AB6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132A9F"/>
    <w:multiLevelType w:val="hybridMultilevel"/>
    <w:tmpl w:val="A3CC3974"/>
    <w:lvl w:ilvl="0" w:tplc="1510766E">
      <w:numFmt w:val="bullet"/>
      <w:lvlText w:val="-"/>
      <w:lvlJc w:val="left"/>
      <w:pPr>
        <w:ind w:left="720" w:hanging="360"/>
      </w:pPr>
      <w:rPr>
        <w:rFonts w:ascii="Calibri" w:eastAsia="Times New Roman" w:hAnsi="Calibri"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5F8D7965"/>
    <w:multiLevelType w:val="hybridMultilevel"/>
    <w:tmpl w:val="7FA211B2"/>
    <w:lvl w:ilvl="0" w:tplc="2F0C5066">
      <w:start w:val="1"/>
      <w:numFmt w:val="decimal"/>
      <w:lvlText w:val="%1."/>
      <w:lvlJc w:val="left"/>
      <w:pPr>
        <w:ind w:left="720" w:hanging="360"/>
      </w:pPr>
      <w:rPr>
        <w:rFonts w:asciiTheme="minorHAnsi" w:eastAsia="MS Mincho" w:hAnsiTheme="minorHAnsi"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6A3C60BA"/>
    <w:multiLevelType w:val="hybridMultilevel"/>
    <w:tmpl w:val="363614A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0C86B38"/>
    <w:multiLevelType w:val="hybridMultilevel"/>
    <w:tmpl w:val="1EBEDF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3B3537"/>
    <w:multiLevelType w:val="hybridMultilevel"/>
    <w:tmpl w:val="E28E19B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2737F28"/>
    <w:multiLevelType w:val="hybridMultilevel"/>
    <w:tmpl w:val="DA0C8722"/>
    <w:lvl w:ilvl="0" w:tplc="3A5C270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73887D47"/>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6417421"/>
    <w:multiLevelType w:val="hybridMultilevel"/>
    <w:tmpl w:val="E87457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9D65E3C"/>
    <w:multiLevelType w:val="hybridMultilevel"/>
    <w:tmpl w:val="530A1036"/>
    <w:lvl w:ilvl="0" w:tplc="51A8FF06">
      <w:start w:val="1"/>
      <w:numFmt w:val="decimal"/>
      <w:lvlText w:val="%1."/>
      <w:lvlJc w:val="left"/>
      <w:pPr>
        <w:ind w:left="720" w:hanging="360"/>
      </w:pPr>
      <w:rPr>
        <w:rFonts w:ascii="Calibri" w:eastAsia="Times New Roman" w:hAnsi="Calibri"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FF40E19"/>
    <w:multiLevelType w:val="hybridMultilevel"/>
    <w:tmpl w:val="B39A89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3"/>
  </w:num>
  <w:num w:numId="2">
    <w:abstractNumId w:val="29"/>
  </w:num>
  <w:num w:numId="3">
    <w:abstractNumId w:val="10"/>
  </w:num>
  <w:num w:numId="4">
    <w:abstractNumId w:val="37"/>
  </w:num>
  <w:num w:numId="5">
    <w:abstractNumId w:val="25"/>
  </w:num>
  <w:num w:numId="6">
    <w:abstractNumId w:val="2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5"/>
  </w:num>
  <w:num w:numId="11">
    <w:abstractNumId w:val="35"/>
  </w:num>
  <w:num w:numId="12">
    <w:abstractNumId w:val="20"/>
  </w:num>
  <w:num w:numId="13">
    <w:abstractNumId w:val="7"/>
  </w:num>
  <w:num w:numId="14">
    <w:abstractNumId w:val="16"/>
  </w:num>
  <w:num w:numId="15">
    <w:abstractNumId w:val="21"/>
  </w:num>
  <w:num w:numId="16">
    <w:abstractNumId w:val="28"/>
  </w:num>
  <w:num w:numId="17">
    <w:abstractNumId w:val="32"/>
  </w:num>
  <w:num w:numId="18">
    <w:abstractNumId w:val="17"/>
  </w:num>
  <w:num w:numId="19">
    <w:abstractNumId w:val="38"/>
  </w:num>
  <w:num w:numId="20">
    <w:abstractNumId w:val="5"/>
  </w:num>
  <w:num w:numId="21">
    <w:abstractNumId w:val="13"/>
  </w:num>
  <w:num w:numId="22">
    <w:abstractNumId w:val="26"/>
  </w:num>
  <w:num w:numId="23">
    <w:abstractNumId w:val="31"/>
  </w:num>
  <w:num w:numId="24">
    <w:abstractNumId w:val="4"/>
  </w:num>
  <w:num w:numId="25">
    <w:abstractNumId w:val="30"/>
  </w:num>
  <w:num w:numId="26">
    <w:abstractNumId w:val="33"/>
  </w:num>
  <w:num w:numId="27">
    <w:abstractNumId w:val="6"/>
  </w:num>
  <w:num w:numId="28">
    <w:abstractNumId w:val="18"/>
  </w:num>
  <w:num w:numId="29">
    <w:abstractNumId w:val="8"/>
  </w:num>
  <w:num w:numId="30">
    <w:abstractNumId w:val="0"/>
  </w:num>
  <w:num w:numId="31">
    <w:abstractNumId w:val="19"/>
  </w:num>
  <w:num w:numId="32">
    <w:abstractNumId w:val="36"/>
  </w:num>
  <w:num w:numId="33">
    <w:abstractNumId w:val="24"/>
  </w:num>
  <w:num w:numId="34">
    <w:abstractNumId w:val="34"/>
  </w:num>
  <w:num w:numId="35">
    <w:abstractNumId w:val="9"/>
  </w:num>
  <w:num w:numId="36">
    <w:abstractNumId w:val="11"/>
  </w:num>
  <w:num w:numId="37">
    <w:abstractNumId w:val="1"/>
  </w:num>
  <w:num w:numId="38">
    <w:abstractNumId w:val="3"/>
    <w:lvlOverride w:ilvl="0">
      <w:startOverride w:val="1"/>
    </w:lvlOverride>
    <w:lvlOverride w:ilvl="1">
      <w:startOverride w:val="1"/>
    </w:lvlOverride>
    <w:lvlOverride w:ilvl="2">
      <w:startOverride w:val="1"/>
    </w:lvlOverride>
  </w:num>
  <w:num w:numId="39">
    <w:abstractNumId w:val="2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08"/>
    <w:rsid w:val="000007A9"/>
    <w:rsid w:val="000010A7"/>
    <w:rsid w:val="000050FF"/>
    <w:rsid w:val="00011633"/>
    <w:rsid w:val="000139FD"/>
    <w:rsid w:val="000159C5"/>
    <w:rsid w:val="00016082"/>
    <w:rsid w:val="0001611F"/>
    <w:rsid w:val="00024F81"/>
    <w:rsid w:val="00025276"/>
    <w:rsid w:val="000256B3"/>
    <w:rsid w:val="0003424F"/>
    <w:rsid w:val="00034D71"/>
    <w:rsid w:val="00036050"/>
    <w:rsid w:val="0003756A"/>
    <w:rsid w:val="000423AD"/>
    <w:rsid w:val="00043935"/>
    <w:rsid w:val="0004427F"/>
    <w:rsid w:val="000445F2"/>
    <w:rsid w:val="000455E6"/>
    <w:rsid w:val="000502CE"/>
    <w:rsid w:val="00052BA7"/>
    <w:rsid w:val="00052FCA"/>
    <w:rsid w:val="00055D63"/>
    <w:rsid w:val="00056127"/>
    <w:rsid w:val="0005634B"/>
    <w:rsid w:val="00057136"/>
    <w:rsid w:val="00057FA4"/>
    <w:rsid w:val="0006457C"/>
    <w:rsid w:val="00066CEC"/>
    <w:rsid w:val="00070546"/>
    <w:rsid w:val="000711C2"/>
    <w:rsid w:val="00072127"/>
    <w:rsid w:val="00073DDC"/>
    <w:rsid w:val="0007639F"/>
    <w:rsid w:val="00080352"/>
    <w:rsid w:val="00083892"/>
    <w:rsid w:val="00083DD8"/>
    <w:rsid w:val="000842E6"/>
    <w:rsid w:val="00085D6E"/>
    <w:rsid w:val="00092638"/>
    <w:rsid w:val="000946B2"/>
    <w:rsid w:val="000A51F6"/>
    <w:rsid w:val="000A69E7"/>
    <w:rsid w:val="000A6C28"/>
    <w:rsid w:val="000A7291"/>
    <w:rsid w:val="000B0F01"/>
    <w:rsid w:val="000B103C"/>
    <w:rsid w:val="000B14D0"/>
    <w:rsid w:val="000B269A"/>
    <w:rsid w:val="000B4D78"/>
    <w:rsid w:val="000C3AE3"/>
    <w:rsid w:val="000C564C"/>
    <w:rsid w:val="000D0863"/>
    <w:rsid w:val="000D356C"/>
    <w:rsid w:val="000D48DC"/>
    <w:rsid w:val="000E1729"/>
    <w:rsid w:val="000E1D4D"/>
    <w:rsid w:val="000E27D2"/>
    <w:rsid w:val="000E375C"/>
    <w:rsid w:val="000F043C"/>
    <w:rsid w:val="000F0A18"/>
    <w:rsid w:val="000F2A1C"/>
    <w:rsid w:val="000F75B0"/>
    <w:rsid w:val="0010031C"/>
    <w:rsid w:val="00100490"/>
    <w:rsid w:val="001017B3"/>
    <w:rsid w:val="0010296D"/>
    <w:rsid w:val="0010580D"/>
    <w:rsid w:val="00107739"/>
    <w:rsid w:val="001077FD"/>
    <w:rsid w:val="00110C37"/>
    <w:rsid w:val="001110F4"/>
    <w:rsid w:val="0011425A"/>
    <w:rsid w:val="00117F01"/>
    <w:rsid w:val="00124716"/>
    <w:rsid w:val="001255F3"/>
    <w:rsid w:val="00125C7C"/>
    <w:rsid w:val="00126666"/>
    <w:rsid w:val="00126D61"/>
    <w:rsid w:val="001303F5"/>
    <w:rsid w:val="00132CAA"/>
    <w:rsid w:val="00133608"/>
    <w:rsid w:val="001364E0"/>
    <w:rsid w:val="00140265"/>
    <w:rsid w:val="0014089A"/>
    <w:rsid w:val="00143A9E"/>
    <w:rsid w:val="00144DEE"/>
    <w:rsid w:val="001471B4"/>
    <w:rsid w:val="00147267"/>
    <w:rsid w:val="00150789"/>
    <w:rsid w:val="00152938"/>
    <w:rsid w:val="00153D57"/>
    <w:rsid w:val="001541E1"/>
    <w:rsid w:val="00156C85"/>
    <w:rsid w:val="00157870"/>
    <w:rsid w:val="00160C59"/>
    <w:rsid w:val="001615E9"/>
    <w:rsid w:val="0016209B"/>
    <w:rsid w:val="00162A9E"/>
    <w:rsid w:val="00163D81"/>
    <w:rsid w:val="001640AB"/>
    <w:rsid w:val="00164640"/>
    <w:rsid w:val="00165874"/>
    <w:rsid w:val="0016635D"/>
    <w:rsid w:val="00170900"/>
    <w:rsid w:val="001728F3"/>
    <w:rsid w:val="0018009F"/>
    <w:rsid w:val="00186552"/>
    <w:rsid w:val="00186DFE"/>
    <w:rsid w:val="001876A5"/>
    <w:rsid w:val="00187C37"/>
    <w:rsid w:val="001929FA"/>
    <w:rsid w:val="00195982"/>
    <w:rsid w:val="00195FEB"/>
    <w:rsid w:val="001970EB"/>
    <w:rsid w:val="001A0F05"/>
    <w:rsid w:val="001A2AD7"/>
    <w:rsid w:val="001A5260"/>
    <w:rsid w:val="001A754C"/>
    <w:rsid w:val="001B15E0"/>
    <w:rsid w:val="001B1A23"/>
    <w:rsid w:val="001B4AC4"/>
    <w:rsid w:val="001B6100"/>
    <w:rsid w:val="001C0C45"/>
    <w:rsid w:val="001D01F1"/>
    <w:rsid w:val="001D3FBA"/>
    <w:rsid w:val="001D4B78"/>
    <w:rsid w:val="001D6499"/>
    <w:rsid w:val="001D69DE"/>
    <w:rsid w:val="001D6D4F"/>
    <w:rsid w:val="001D7E15"/>
    <w:rsid w:val="001E3883"/>
    <w:rsid w:val="001E472D"/>
    <w:rsid w:val="001E68A6"/>
    <w:rsid w:val="001F1F5F"/>
    <w:rsid w:val="001F4C5A"/>
    <w:rsid w:val="001F5BB0"/>
    <w:rsid w:val="001F5FEF"/>
    <w:rsid w:val="001F65AA"/>
    <w:rsid w:val="002003A7"/>
    <w:rsid w:val="0020049F"/>
    <w:rsid w:val="00201C6E"/>
    <w:rsid w:val="002022FD"/>
    <w:rsid w:val="00207D15"/>
    <w:rsid w:val="0021016B"/>
    <w:rsid w:val="002106E6"/>
    <w:rsid w:val="0022146B"/>
    <w:rsid w:val="00223E26"/>
    <w:rsid w:val="0023208B"/>
    <w:rsid w:val="00232261"/>
    <w:rsid w:val="002327EC"/>
    <w:rsid w:val="0023339D"/>
    <w:rsid w:val="00240DED"/>
    <w:rsid w:val="00242306"/>
    <w:rsid w:val="00243D96"/>
    <w:rsid w:val="00244307"/>
    <w:rsid w:val="00245EF2"/>
    <w:rsid w:val="00245FA5"/>
    <w:rsid w:val="0025168A"/>
    <w:rsid w:val="002527A2"/>
    <w:rsid w:val="00253323"/>
    <w:rsid w:val="002544AF"/>
    <w:rsid w:val="002552D9"/>
    <w:rsid w:val="002602DE"/>
    <w:rsid w:val="00260C35"/>
    <w:rsid w:val="002610E2"/>
    <w:rsid w:val="00262334"/>
    <w:rsid w:val="002651F0"/>
    <w:rsid w:val="00265930"/>
    <w:rsid w:val="00270E97"/>
    <w:rsid w:val="00272837"/>
    <w:rsid w:val="00273B55"/>
    <w:rsid w:val="0027428F"/>
    <w:rsid w:val="00274ACB"/>
    <w:rsid w:val="00274CF6"/>
    <w:rsid w:val="00274DE6"/>
    <w:rsid w:val="00275484"/>
    <w:rsid w:val="002801E1"/>
    <w:rsid w:val="002803E5"/>
    <w:rsid w:val="002815FF"/>
    <w:rsid w:val="002820DB"/>
    <w:rsid w:val="0028290E"/>
    <w:rsid w:val="00283DD2"/>
    <w:rsid w:val="002848DB"/>
    <w:rsid w:val="00287652"/>
    <w:rsid w:val="002905F4"/>
    <w:rsid w:val="00292154"/>
    <w:rsid w:val="00292225"/>
    <w:rsid w:val="00292D4E"/>
    <w:rsid w:val="00293581"/>
    <w:rsid w:val="002940D7"/>
    <w:rsid w:val="00294F0D"/>
    <w:rsid w:val="002A0765"/>
    <w:rsid w:val="002A22F7"/>
    <w:rsid w:val="002A2865"/>
    <w:rsid w:val="002A2A46"/>
    <w:rsid w:val="002A37E8"/>
    <w:rsid w:val="002A397C"/>
    <w:rsid w:val="002A57D3"/>
    <w:rsid w:val="002A6561"/>
    <w:rsid w:val="002B38AE"/>
    <w:rsid w:val="002B60C8"/>
    <w:rsid w:val="002C00DB"/>
    <w:rsid w:val="002C03CB"/>
    <w:rsid w:val="002C1694"/>
    <w:rsid w:val="002C583B"/>
    <w:rsid w:val="002C61D3"/>
    <w:rsid w:val="002C75A2"/>
    <w:rsid w:val="002D100A"/>
    <w:rsid w:val="002D1DA5"/>
    <w:rsid w:val="002D1FB0"/>
    <w:rsid w:val="002D2FA1"/>
    <w:rsid w:val="002D5A46"/>
    <w:rsid w:val="002D631C"/>
    <w:rsid w:val="002D6A97"/>
    <w:rsid w:val="002E5E10"/>
    <w:rsid w:val="002E676F"/>
    <w:rsid w:val="002E7D96"/>
    <w:rsid w:val="002F1A01"/>
    <w:rsid w:val="002F2508"/>
    <w:rsid w:val="002F25B0"/>
    <w:rsid w:val="002F6F47"/>
    <w:rsid w:val="003006F9"/>
    <w:rsid w:val="00300CCA"/>
    <w:rsid w:val="00303220"/>
    <w:rsid w:val="00306939"/>
    <w:rsid w:val="00307443"/>
    <w:rsid w:val="00310A21"/>
    <w:rsid w:val="00312384"/>
    <w:rsid w:val="00314273"/>
    <w:rsid w:val="003142B9"/>
    <w:rsid w:val="00317615"/>
    <w:rsid w:val="003205DB"/>
    <w:rsid w:val="00321E8E"/>
    <w:rsid w:val="00323CD4"/>
    <w:rsid w:val="003307B9"/>
    <w:rsid w:val="0033090B"/>
    <w:rsid w:val="003316BE"/>
    <w:rsid w:val="003323AE"/>
    <w:rsid w:val="00332778"/>
    <w:rsid w:val="00335A48"/>
    <w:rsid w:val="00335A81"/>
    <w:rsid w:val="00335FD5"/>
    <w:rsid w:val="00341612"/>
    <w:rsid w:val="00346C76"/>
    <w:rsid w:val="0034750A"/>
    <w:rsid w:val="00350265"/>
    <w:rsid w:val="00350C56"/>
    <w:rsid w:val="00353E48"/>
    <w:rsid w:val="00356C9F"/>
    <w:rsid w:val="00357F3C"/>
    <w:rsid w:val="003602DD"/>
    <w:rsid w:val="00362214"/>
    <w:rsid w:val="003623A4"/>
    <w:rsid w:val="0036445F"/>
    <w:rsid w:val="00364E37"/>
    <w:rsid w:val="00366511"/>
    <w:rsid w:val="0037074F"/>
    <w:rsid w:val="00370C40"/>
    <w:rsid w:val="0037129A"/>
    <w:rsid w:val="00373054"/>
    <w:rsid w:val="003745F0"/>
    <w:rsid w:val="0038161C"/>
    <w:rsid w:val="003838D6"/>
    <w:rsid w:val="0038463F"/>
    <w:rsid w:val="00384B08"/>
    <w:rsid w:val="003850B2"/>
    <w:rsid w:val="00385892"/>
    <w:rsid w:val="00387EBA"/>
    <w:rsid w:val="0039076C"/>
    <w:rsid w:val="00392B49"/>
    <w:rsid w:val="00396A90"/>
    <w:rsid w:val="003A6FC9"/>
    <w:rsid w:val="003B395C"/>
    <w:rsid w:val="003B6B02"/>
    <w:rsid w:val="003B6BD9"/>
    <w:rsid w:val="003B6DB0"/>
    <w:rsid w:val="003B7642"/>
    <w:rsid w:val="003D08B6"/>
    <w:rsid w:val="003D08C2"/>
    <w:rsid w:val="003E085D"/>
    <w:rsid w:val="003E0BE7"/>
    <w:rsid w:val="003E1C0B"/>
    <w:rsid w:val="003E52D7"/>
    <w:rsid w:val="003F403C"/>
    <w:rsid w:val="003F4720"/>
    <w:rsid w:val="003F70F5"/>
    <w:rsid w:val="003F7D73"/>
    <w:rsid w:val="0040404F"/>
    <w:rsid w:val="00404206"/>
    <w:rsid w:val="004045DD"/>
    <w:rsid w:val="00406C16"/>
    <w:rsid w:val="00406F58"/>
    <w:rsid w:val="00407593"/>
    <w:rsid w:val="004110A0"/>
    <w:rsid w:val="00411FA6"/>
    <w:rsid w:val="00416ED4"/>
    <w:rsid w:val="00417546"/>
    <w:rsid w:val="00420313"/>
    <w:rsid w:val="0042077D"/>
    <w:rsid w:val="00426BA3"/>
    <w:rsid w:val="004279EF"/>
    <w:rsid w:val="004329BF"/>
    <w:rsid w:val="004369D4"/>
    <w:rsid w:val="004405ED"/>
    <w:rsid w:val="00441847"/>
    <w:rsid w:val="00441D44"/>
    <w:rsid w:val="004447CA"/>
    <w:rsid w:val="00445855"/>
    <w:rsid w:val="0044774A"/>
    <w:rsid w:val="00451042"/>
    <w:rsid w:val="00453349"/>
    <w:rsid w:val="004536E1"/>
    <w:rsid w:val="004557A3"/>
    <w:rsid w:val="004602D5"/>
    <w:rsid w:val="004604AA"/>
    <w:rsid w:val="00463DE5"/>
    <w:rsid w:val="00464A80"/>
    <w:rsid w:val="00464FE6"/>
    <w:rsid w:val="00467126"/>
    <w:rsid w:val="00473BC4"/>
    <w:rsid w:val="0047531C"/>
    <w:rsid w:val="00475BDE"/>
    <w:rsid w:val="004767E9"/>
    <w:rsid w:val="0048026C"/>
    <w:rsid w:val="00481103"/>
    <w:rsid w:val="004864F0"/>
    <w:rsid w:val="00487129"/>
    <w:rsid w:val="00487831"/>
    <w:rsid w:val="00490DE9"/>
    <w:rsid w:val="0049146A"/>
    <w:rsid w:val="0049448D"/>
    <w:rsid w:val="00496C72"/>
    <w:rsid w:val="004970BD"/>
    <w:rsid w:val="0049712B"/>
    <w:rsid w:val="0049714C"/>
    <w:rsid w:val="004A0B34"/>
    <w:rsid w:val="004A1D09"/>
    <w:rsid w:val="004A2B03"/>
    <w:rsid w:val="004A557B"/>
    <w:rsid w:val="004A5900"/>
    <w:rsid w:val="004A6649"/>
    <w:rsid w:val="004A7079"/>
    <w:rsid w:val="004B0B22"/>
    <w:rsid w:val="004B2A81"/>
    <w:rsid w:val="004B47A0"/>
    <w:rsid w:val="004B6276"/>
    <w:rsid w:val="004B73FF"/>
    <w:rsid w:val="004C00FC"/>
    <w:rsid w:val="004C03C2"/>
    <w:rsid w:val="004C1B97"/>
    <w:rsid w:val="004C5F8F"/>
    <w:rsid w:val="004C700C"/>
    <w:rsid w:val="004C7A38"/>
    <w:rsid w:val="004D03C3"/>
    <w:rsid w:val="004D0EDE"/>
    <w:rsid w:val="004D2769"/>
    <w:rsid w:val="004D2A3E"/>
    <w:rsid w:val="004D3FF1"/>
    <w:rsid w:val="004D7A2C"/>
    <w:rsid w:val="004E07D1"/>
    <w:rsid w:val="004E1502"/>
    <w:rsid w:val="004E25C5"/>
    <w:rsid w:val="004E450B"/>
    <w:rsid w:val="004E6103"/>
    <w:rsid w:val="004E7D04"/>
    <w:rsid w:val="004F2335"/>
    <w:rsid w:val="004F2AC2"/>
    <w:rsid w:val="004F3BAA"/>
    <w:rsid w:val="004F4B66"/>
    <w:rsid w:val="004F7E76"/>
    <w:rsid w:val="00500375"/>
    <w:rsid w:val="005029F8"/>
    <w:rsid w:val="00502ACF"/>
    <w:rsid w:val="005073B4"/>
    <w:rsid w:val="00512B54"/>
    <w:rsid w:val="0051320F"/>
    <w:rsid w:val="00514FA8"/>
    <w:rsid w:val="00520140"/>
    <w:rsid w:val="00521878"/>
    <w:rsid w:val="005254AB"/>
    <w:rsid w:val="005309E4"/>
    <w:rsid w:val="005330AE"/>
    <w:rsid w:val="00533ED7"/>
    <w:rsid w:val="0053495D"/>
    <w:rsid w:val="0053529D"/>
    <w:rsid w:val="005370BC"/>
    <w:rsid w:val="005370C0"/>
    <w:rsid w:val="00544CCF"/>
    <w:rsid w:val="00545AF8"/>
    <w:rsid w:val="00545E7F"/>
    <w:rsid w:val="005501E1"/>
    <w:rsid w:val="00551B56"/>
    <w:rsid w:val="00551C78"/>
    <w:rsid w:val="00552095"/>
    <w:rsid w:val="00552927"/>
    <w:rsid w:val="00553DFB"/>
    <w:rsid w:val="00554CC1"/>
    <w:rsid w:val="00556688"/>
    <w:rsid w:val="00556CB1"/>
    <w:rsid w:val="0055717F"/>
    <w:rsid w:val="00560C5A"/>
    <w:rsid w:val="00563FD6"/>
    <w:rsid w:val="00564972"/>
    <w:rsid w:val="00564B87"/>
    <w:rsid w:val="00564F3A"/>
    <w:rsid w:val="005666F3"/>
    <w:rsid w:val="00566CB4"/>
    <w:rsid w:val="00570249"/>
    <w:rsid w:val="00570D26"/>
    <w:rsid w:val="00573B98"/>
    <w:rsid w:val="00575683"/>
    <w:rsid w:val="00576EFE"/>
    <w:rsid w:val="0057751B"/>
    <w:rsid w:val="00580A71"/>
    <w:rsid w:val="00580D64"/>
    <w:rsid w:val="005823F8"/>
    <w:rsid w:val="00585CE5"/>
    <w:rsid w:val="00590D25"/>
    <w:rsid w:val="005936DB"/>
    <w:rsid w:val="00596F35"/>
    <w:rsid w:val="005A03AB"/>
    <w:rsid w:val="005A1529"/>
    <w:rsid w:val="005A1EAC"/>
    <w:rsid w:val="005A32EC"/>
    <w:rsid w:val="005A339C"/>
    <w:rsid w:val="005A4E9E"/>
    <w:rsid w:val="005A702F"/>
    <w:rsid w:val="005A7730"/>
    <w:rsid w:val="005B1ED9"/>
    <w:rsid w:val="005B21F0"/>
    <w:rsid w:val="005B4C89"/>
    <w:rsid w:val="005B515D"/>
    <w:rsid w:val="005B56F4"/>
    <w:rsid w:val="005B61BC"/>
    <w:rsid w:val="005B62EA"/>
    <w:rsid w:val="005C293F"/>
    <w:rsid w:val="005C587F"/>
    <w:rsid w:val="005C5FA6"/>
    <w:rsid w:val="005C7ECD"/>
    <w:rsid w:val="005D1CC9"/>
    <w:rsid w:val="005D1FDB"/>
    <w:rsid w:val="005D3A3D"/>
    <w:rsid w:val="005D4FE6"/>
    <w:rsid w:val="005D76DD"/>
    <w:rsid w:val="005E2F5C"/>
    <w:rsid w:val="005E4592"/>
    <w:rsid w:val="005E64D3"/>
    <w:rsid w:val="005E7E42"/>
    <w:rsid w:val="005F063C"/>
    <w:rsid w:val="005F1143"/>
    <w:rsid w:val="005F17FA"/>
    <w:rsid w:val="005F1951"/>
    <w:rsid w:val="005F1AF7"/>
    <w:rsid w:val="005F3884"/>
    <w:rsid w:val="005F3E84"/>
    <w:rsid w:val="005F70D8"/>
    <w:rsid w:val="0060125D"/>
    <w:rsid w:val="00605132"/>
    <w:rsid w:val="00606F25"/>
    <w:rsid w:val="0061011E"/>
    <w:rsid w:val="00615A96"/>
    <w:rsid w:val="006179A2"/>
    <w:rsid w:val="006203D2"/>
    <w:rsid w:val="00621128"/>
    <w:rsid w:val="0062184C"/>
    <w:rsid w:val="0062189B"/>
    <w:rsid w:val="00625076"/>
    <w:rsid w:val="00625795"/>
    <w:rsid w:val="00625801"/>
    <w:rsid w:val="00626E3F"/>
    <w:rsid w:val="006342AD"/>
    <w:rsid w:val="00634CA2"/>
    <w:rsid w:val="006351CE"/>
    <w:rsid w:val="006356BA"/>
    <w:rsid w:val="00635EC8"/>
    <w:rsid w:val="00636D5C"/>
    <w:rsid w:val="006400FD"/>
    <w:rsid w:val="00641396"/>
    <w:rsid w:val="00642F21"/>
    <w:rsid w:val="00642F87"/>
    <w:rsid w:val="0065077E"/>
    <w:rsid w:val="00651D8F"/>
    <w:rsid w:val="00652CB0"/>
    <w:rsid w:val="006539A8"/>
    <w:rsid w:val="006545F2"/>
    <w:rsid w:val="00654C06"/>
    <w:rsid w:val="00655A58"/>
    <w:rsid w:val="006578BA"/>
    <w:rsid w:val="00664804"/>
    <w:rsid w:val="00671C7C"/>
    <w:rsid w:val="006730AE"/>
    <w:rsid w:val="00677E93"/>
    <w:rsid w:val="00681E2B"/>
    <w:rsid w:val="0068201D"/>
    <w:rsid w:val="006836EE"/>
    <w:rsid w:val="0068397A"/>
    <w:rsid w:val="00687410"/>
    <w:rsid w:val="006906FC"/>
    <w:rsid w:val="0069259C"/>
    <w:rsid w:val="00693499"/>
    <w:rsid w:val="00694EDA"/>
    <w:rsid w:val="00696F7C"/>
    <w:rsid w:val="006A22D2"/>
    <w:rsid w:val="006A4E9F"/>
    <w:rsid w:val="006A51A1"/>
    <w:rsid w:val="006B0A1B"/>
    <w:rsid w:val="006B30B4"/>
    <w:rsid w:val="006B38B6"/>
    <w:rsid w:val="006B6A20"/>
    <w:rsid w:val="006B7DA2"/>
    <w:rsid w:val="006C05DA"/>
    <w:rsid w:val="006C103F"/>
    <w:rsid w:val="006C1864"/>
    <w:rsid w:val="006C37E8"/>
    <w:rsid w:val="006C59F0"/>
    <w:rsid w:val="006C6842"/>
    <w:rsid w:val="006D0825"/>
    <w:rsid w:val="006D16B3"/>
    <w:rsid w:val="006D1EAE"/>
    <w:rsid w:val="006D303B"/>
    <w:rsid w:val="006D3912"/>
    <w:rsid w:val="006D3D2F"/>
    <w:rsid w:val="006D5A4F"/>
    <w:rsid w:val="006D6F93"/>
    <w:rsid w:val="006E097B"/>
    <w:rsid w:val="006E5BCE"/>
    <w:rsid w:val="006E6D72"/>
    <w:rsid w:val="006F2576"/>
    <w:rsid w:val="006F2B46"/>
    <w:rsid w:val="006F3E9A"/>
    <w:rsid w:val="006F5BB1"/>
    <w:rsid w:val="0070421F"/>
    <w:rsid w:val="0070449A"/>
    <w:rsid w:val="00707CEA"/>
    <w:rsid w:val="00714C0D"/>
    <w:rsid w:val="00716A19"/>
    <w:rsid w:val="00724817"/>
    <w:rsid w:val="0072656E"/>
    <w:rsid w:val="00726704"/>
    <w:rsid w:val="00727D5A"/>
    <w:rsid w:val="0073049E"/>
    <w:rsid w:val="00730E1A"/>
    <w:rsid w:val="00733213"/>
    <w:rsid w:val="00733B54"/>
    <w:rsid w:val="00735E18"/>
    <w:rsid w:val="00740A5B"/>
    <w:rsid w:val="00740CAC"/>
    <w:rsid w:val="007428AD"/>
    <w:rsid w:val="007443B6"/>
    <w:rsid w:val="00745053"/>
    <w:rsid w:val="00746DB4"/>
    <w:rsid w:val="0075340C"/>
    <w:rsid w:val="007547AD"/>
    <w:rsid w:val="00756725"/>
    <w:rsid w:val="00765005"/>
    <w:rsid w:val="0076586B"/>
    <w:rsid w:val="007673C8"/>
    <w:rsid w:val="0077080B"/>
    <w:rsid w:val="00770E3E"/>
    <w:rsid w:val="00771D5A"/>
    <w:rsid w:val="007768DB"/>
    <w:rsid w:val="0077781D"/>
    <w:rsid w:val="00783DEC"/>
    <w:rsid w:val="007862E3"/>
    <w:rsid w:val="00786559"/>
    <w:rsid w:val="00787422"/>
    <w:rsid w:val="007927B3"/>
    <w:rsid w:val="007931B3"/>
    <w:rsid w:val="00794272"/>
    <w:rsid w:val="007A2037"/>
    <w:rsid w:val="007A26C1"/>
    <w:rsid w:val="007A38CE"/>
    <w:rsid w:val="007A5F09"/>
    <w:rsid w:val="007A6D01"/>
    <w:rsid w:val="007A6D5B"/>
    <w:rsid w:val="007B016E"/>
    <w:rsid w:val="007B04FF"/>
    <w:rsid w:val="007B7B01"/>
    <w:rsid w:val="007C3230"/>
    <w:rsid w:val="007C3F13"/>
    <w:rsid w:val="007C4134"/>
    <w:rsid w:val="007C5E6C"/>
    <w:rsid w:val="007C6FC6"/>
    <w:rsid w:val="007C7A87"/>
    <w:rsid w:val="007C7CE7"/>
    <w:rsid w:val="007D0765"/>
    <w:rsid w:val="007D0EDA"/>
    <w:rsid w:val="007D1836"/>
    <w:rsid w:val="007D31E5"/>
    <w:rsid w:val="007D66E7"/>
    <w:rsid w:val="007D6928"/>
    <w:rsid w:val="007D6FDC"/>
    <w:rsid w:val="007D721A"/>
    <w:rsid w:val="007E142E"/>
    <w:rsid w:val="007E24B4"/>
    <w:rsid w:val="007E3803"/>
    <w:rsid w:val="007E43D7"/>
    <w:rsid w:val="007E5E98"/>
    <w:rsid w:val="007E74DC"/>
    <w:rsid w:val="007F0C2D"/>
    <w:rsid w:val="007F3B3B"/>
    <w:rsid w:val="007F5A9E"/>
    <w:rsid w:val="007F5E0F"/>
    <w:rsid w:val="007F664F"/>
    <w:rsid w:val="007F7ADD"/>
    <w:rsid w:val="008008B1"/>
    <w:rsid w:val="00801D3D"/>
    <w:rsid w:val="00804DC4"/>
    <w:rsid w:val="00805848"/>
    <w:rsid w:val="00806755"/>
    <w:rsid w:val="00813539"/>
    <w:rsid w:val="008144F1"/>
    <w:rsid w:val="00816FAF"/>
    <w:rsid w:val="00817D8E"/>
    <w:rsid w:val="00820C27"/>
    <w:rsid w:val="008217D9"/>
    <w:rsid w:val="00822360"/>
    <w:rsid w:val="00825262"/>
    <w:rsid w:val="008263B0"/>
    <w:rsid w:val="00826F84"/>
    <w:rsid w:val="00833658"/>
    <w:rsid w:val="008336CF"/>
    <w:rsid w:val="00836F02"/>
    <w:rsid w:val="008407F0"/>
    <w:rsid w:val="00842398"/>
    <w:rsid w:val="008511FF"/>
    <w:rsid w:val="008537D7"/>
    <w:rsid w:val="008554D3"/>
    <w:rsid w:val="008556DD"/>
    <w:rsid w:val="00855D62"/>
    <w:rsid w:val="008575C1"/>
    <w:rsid w:val="0086470F"/>
    <w:rsid w:val="00867034"/>
    <w:rsid w:val="0087047A"/>
    <w:rsid w:val="00870818"/>
    <w:rsid w:val="008717C6"/>
    <w:rsid w:val="008719F6"/>
    <w:rsid w:val="00874A0F"/>
    <w:rsid w:val="00875CEE"/>
    <w:rsid w:val="00877150"/>
    <w:rsid w:val="00877510"/>
    <w:rsid w:val="008800ED"/>
    <w:rsid w:val="008801DD"/>
    <w:rsid w:val="00880373"/>
    <w:rsid w:val="008856DB"/>
    <w:rsid w:val="00885A59"/>
    <w:rsid w:val="00885B8E"/>
    <w:rsid w:val="008862BE"/>
    <w:rsid w:val="00890F8B"/>
    <w:rsid w:val="00892C91"/>
    <w:rsid w:val="00893ED2"/>
    <w:rsid w:val="008952BC"/>
    <w:rsid w:val="00895739"/>
    <w:rsid w:val="008A1173"/>
    <w:rsid w:val="008A22BE"/>
    <w:rsid w:val="008A321D"/>
    <w:rsid w:val="008A3E77"/>
    <w:rsid w:val="008A517D"/>
    <w:rsid w:val="008A519D"/>
    <w:rsid w:val="008A52FA"/>
    <w:rsid w:val="008B02F5"/>
    <w:rsid w:val="008B15D9"/>
    <w:rsid w:val="008B21B8"/>
    <w:rsid w:val="008B459C"/>
    <w:rsid w:val="008B54B1"/>
    <w:rsid w:val="008C1847"/>
    <w:rsid w:val="008C4260"/>
    <w:rsid w:val="008C67CB"/>
    <w:rsid w:val="008D0B7F"/>
    <w:rsid w:val="008D2147"/>
    <w:rsid w:val="008D3A65"/>
    <w:rsid w:val="008D45B4"/>
    <w:rsid w:val="008D4799"/>
    <w:rsid w:val="008E1B10"/>
    <w:rsid w:val="008E22A3"/>
    <w:rsid w:val="008E23A1"/>
    <w:rsid w:val="008E2D9B"/>
    <w:rsid w:val="008F0AAD"/>
    <w:rsid w:val="008F176F"/>
    <w:rsid w:val="008F4669"/>
    <w:rsid w:val="008F4E69"/>
    <w:rsid w:val="008F58A3"/>
    <w:rsid w:val="008F63DB"/>
    <w:rsid w:val="008F7533"/>
    <w:rsid w:val="00900B6D"/>
    <w:rsid w:val="0090332B"/>
    <w:rsid w:val="009045B5"/>
    <w:rsid w:val="00904F3F"/>
    <w:rsid w:val="009053E3"/>
    <w:rsid w:val="00906351"/>
    <w:rsid w:val="00910198"/>
    <w:rsid w:val="00910EC2"/>
    <w:rsid w:val="00912818"/>
    <w:rsid w:val="0091365C"/>
    <w:rsid w:val="00913F06"/>
    <w:rsid w:val="009174B8"/>
    <w:rsid w:val="009312B8"/>
    <w:rsid w:val="009317CF"/>
    <w:rsid w:val="009325F1"/>
    <w:rsid w:val="0093417B"/>
    <w:rsid w:val="009351F1"/>
    <w:rsid w:val="00936FAA"/>
    <w:rsid w:val="00941FB1"/>
    <w:rsid w:val="00943075"/>
    <w:rsid w:val="009432B6"/>
    <w:rsid w:val="00945E9A"/>
    <w:rsid w:val="009475D7"/>
    <w:rsid w:val="009478CE"/>
    <w:rsid w:val="0095142A"/>
    <w:rsid w:val="009535F2"/>
    <w:rsid w:val="00955FAF"/>
    <w:rsid w:val="009562FD"/>
    <w:rsid w:val="009579EE"/>
    <w:rsid w:val="00957B68"/>
    <w:rsid w:val="00957D5D"/>
    <w:rsid w:val="00961516"/>
    <w:rsid w:val="00961604"/>
    <w:rsid w:val="00964BEC"/>
    <w:rsid w:val="00964DBF"/>
    <w:rsid w:val="009709C8"/>
    <w:rsid w:val="00970E69"/>
    <w:rsid w:val="00974768"/>
    <w:rsid w:val="0097750C"/>
    <w:rsid w:val="00980809"/>
    <w:rsid w:val="00980F8E"/>
    <w:rsid w:val="00982B5D"/>
    <w:rsid w:val="009836BB"/>
    <w:rsid w:val="00985AB9"/>
    <w:rsid w:val="009902D2"/>
    <w:rsid w:val="009909E8"/>
    <w:rsid w:val="0099107E"/>
    <w:rsid w:val="009920D0"/>
    <w:rsid w:val="009932A9"/>
    <w:rsid w:val="00994979"/>
    <w:rsid w:val="009949D7"/>
    <w:rsid w:val="0099615D"/>
    <w:rsid w:val="009963FF"/>
    <w:rsid w:val="00997E35"/>
    <w:rsid w:val="009A3440"/>
    <w:rsid w:val="009A42DA"/>
    <w:rsid w:val="009A5283"/>
    <w:rsid w:val="009A70ED"/>
    <w:rsid w:val="009A7161"/>
    <w:rsid w:val="009B2176"/>
    <w:rsid w:val="009B4DA7"/>
    <w:rsid w:val="009B5C4C"/>
    <w:rsid w:val="009B644D"/>
    <w:rsid w:val="009B7828"/>
    <w:rsid w:val="009C348F"/>
    <w:rsid w:val="009C3783"/>
    <w:rsid w:val="009D0F5E"/>
    <w:rsid w:val="009D114D"/>
    <w:rsid w:val="009D414C"/>
    <w:rsid w:val="009D41D9"/>
    <w:rsid w:val="009D7345"/>
    <w:rsid w:val="009D778E"/>
    <w:rsid w:val="009D7B9B"/>
    <w:rsid w:val="009D7E3D"/>
    <w:rsid w:val="009E04F7"/>
    <w:rsid w:val="009E5E56"/>
    <w:rsid w:val="009F03E7"/>
    <w:rsid w:val="009F0B10"/>
    <w:rsid w:val="009F1091"/>
    <w:rsid w:val="009F31AF"/>
    <w:rsid w:val="009F357D"/>
    <w:rsid w:val="009F3F92"/>
    <w:rsid w:val="009F6C64"/>
    <w:rsid w:val="009F7787"/>
    <w:rsid w:val="009F7793"/>
    <w:rsid w:val="00A058FF"/>
    <w:rsid w:val="00A067A7"/>
    <w:rsid w:val="00A06B36"/>
    <w:rsid w:val="00A07DB0"/>
    <w:rsid w:val="00A1320A"/>
    <w:rsid w:val="00A15D82"/>
    <w:rsid w:val="00A22D67"/>
    <w:rsid w:val="00A22F45"/>
    <w:rsid w:val="00A24542"/>
    <w:rsid w:val="00A26340"/>
    <w:rsid w:val="00A371F5"/>
    <w:rsid w:val="00A45BD1"/>
    <w:rsid w:val="00A464C8"/>
    <w:rsid w:val="00A536DF"/>
    <w:rsid w:val="00A547C1"/>
    <w:rsid w:val="00A56E46"/>
    <w:rsid w:val="00A5736E"/>
    <w:rsid w:val="00A66A7E"/>
    <w:rsid w:val="00A67239"/>
    <w:rsid w:val="00A70505"/>
    <w:rsid w:val="00A70DB0"/>
    <w:rsid w:val="00A71C05"/>
    <w:rsid w:val="00A722D8"/>
    <w:rsid w:val="00A75963"/>
    <w:rsid w:val="00A76F97"/>
    <w:rsid w:val="00A77D67"/>
    <w:rsid w:val="00A82172"/>
    <w:rsid w:val="00A8321E"/>
    <w:rsid w:val="00A83BED"/>
    <w:rsid w:val="00A83DE3"/>
    <w:rsid w:val="00A8603F"/>
    <w:rsid w:val="00A92431"/>
    <w:rsid w:val="00A92C82"/>
    <w:rsid w:val="00A96316"/>
    <w:rsid w:val="00A96B77"/>
    <w:rsid w:val="00A96EBA"/>
    <w:rsid w:val="00A96FA3"/>
    <w:rsid w:val="00AA22A0"/>
    <w:rsid w:val="00AA36B5"/>
    <w:rsid w:val="00AA5407"/>
    <w:rsid w:val="00AA666B"/>
    <w:rsid w:val="00AA68A7"/>
    <w:rsid w:val="00AB05F0"/>
    <w:rsid w:val="00AB1297"/>
    <w:rsid w:val="00AB1B52"/>
    <w:rsid w:val="00AB3DEA"/>
    <w:rsid w:val="00AB402A"/>
    <w:rsid w:val="00AB44D5"/>
    <w:rsid w:val="00AB557E"/>
    <w:rsid w:val="00AB575D"/>
    <w:rsid w:val="00AB5C2F"/>
    <w:rsid w:val="00AB61E5"/>
    <w:rsid w:val="00AC074B"/>
    <w:rsid w:val="00AC18C7"/>
    <w:rsid w:val="00AC262E"/>
    <w:rsid w:val="00AC4FA4"/>
    <w:rsid w:val="00AC5BA7"/>
    <w:rsid w:val="00AC7AE9"/>
    <w:rsid w:val="00AD35F0"/>
    <w:rsid w:val="00AD55BE"/>
    <w:rsid w:val="00AD7D1B"/>
    <w:rsid w:val="00AE05C7"/>
    <w:rsid w:val="00AE08CD"/>
    <w:rsid w:val="00AE0B58"/>
    <w:rsid w:val="00AE1215"/>
    <w:rsid w:val="00AE2DC5"/>
    <w:rsid w:val="00AE3CD2"/>
    <w:rsid w:val="00AF1171"/>
    <w:rsid w:val="00AF2179"/>
    <w:rsid w:val="00AF3B13"/>
    <w:rsid w:val="00AF3C1B"/>
    <w:rsid w:val="00AF44EF"/>
    <w:rsid w:val="00AF4C25"/>
    <w:rsid w:val="00B0050E"/>
    <w:rsid w:val="00B04A2E"/>
    <w:rsid w:val="00B04CFF"/>
    <w:rsid w:val="00B05217"/>
    <w:rsid w:val="00B0677E"/>
    <w:rsid w:val="00B07798"/>
    <w:rsid w:val="00B10B0A"/>
    <w:rsid w:val="00B1104F"/>
    <w:rsid w:val="00B13E28"/>
    <w:rsid w:val="00B21519"/>
    <w:rsid w:val="00B22A95"/>
    <w:rsid w:val="00B27C9B"/>
    <w:rsid w:val="00B32897"/>
    <w:rsid w:val="00B32C7C"/>
    <w:rsid w:val="00B3385A"/>
    <w:rsid w:val="00B3391C"/>
    <w:rsid w:val="00B33D70"/>
    <w:rsid w:val="00B36676"/>
    <w:rsid w:val="00B36B7E"/>
    <w:rsid w:val="00B40635"/>
    <w:rsid w:val="00B40BA8"/>
    <w:rsid w:val="00B43806"/>
    <w:rsid w:val="00B46BDA"/>
    <w:rsid w:val="00B516A5"/>
    <w:rsid w:val="00B5217E"/>
    <w:rsid w:val="00B52701"/>
    <w:rsid w:val="00B56F2C"/>
    <w:rsid w:val="00B57146"/>
    <w:rsid w:val="00B57E28"/>
    <w:rsid w:val="00B6492C"/>
    <w:rsid w:val="00B65FE7"/>
    <w:rsid w:val="00B67345"/>
    <w:rsid w:val="00B709F6"/>
    <w:rsid w:val="00B7156E"/>
    <w:rsid w:val="00B732AD"/>
    <w:rsid w:val="00B75E37"/>
    <w:rsid w:val="00B75EDB"/>
    <w:rsid w:val="00B817AE"/>
    <w:rsid w:val="00B83337"/>
    <w:rsid w:val="00B86097"/>
    <w:rsid w:val="00B87D8B"/>
    <w:rsid w:val="00B9041A"/>
    <w:rsid w:val="00B9125C"/>
    <w:rsid w:val="00B979E3"/>
    <w:rsid w:val="00BA4C2B"/>
    <w:rsid w:val="00BB1707"/>
    <w:rsid w:val="00BC20CB"/>
    <w:rsid w:val="00BC7132"/>
    <w:rsid w:val="00BD4B70"/>
    <w:rsid w:val="00BD632D"/>
    <w:rsid w:val="00BE0EFF"/>
    <w:rsid w:val="00BE0F5F"/>
    <w:rsid w:val="00BE2AAB"/>
    <w:rsid w:val="00BE32FF"/>
    <w:rsid w:val="00BE453B"/>
    <w:rsid w:val="00BE4676"/>
    <w:rsid w:val="00BF0525"/>
    <w:rsid w:val="00BF08DC"/>
    <w:rsid w:val="00BF506E"/>
    <w:rsid w:val="00C013BD"/>
    <w:rsid w:val="00C022A0"/>
    <w:rsid w:val="00C05961"/>
    <w:rsid w:val="00C1014F"/>
    <w:rsid w:val="00C10A2D"/>
    <w:rsid w:val="00C118E1"/>
    <w:rsid w:val="00C12964"/>
    <w:rsid w:val="00C13690"/>
    <w:rsid w:val="00C15516"/>
    <w:rsid w:val="00C15908"/>
    <w:rsid w:val="00C15B70"/>
    <w:rsid w:val="00C15B7F"/>
    <w:rsid w:val="00C16DBB"/>
    <w:rsid w:val="00C17BB4"/>
    <w:rsid w:val="00C201F8"/>
    <w:rsid w:val="00C22CEA"/>
    <w:rsid w:val="00C345B5"/>
    <w:rsid w:val="00C3477F"/>
    <w:rsid w:val="00C350C8"/>
    <w:rsid w:val="00C3588D"/>
    <w:rsid w:val="00C360B9"/>
    <w:rsid w:val="00C36A1F"/>
    <w:rsid w:val="00C36B16"/>
    <w:rsid w:val="00C37A20"/>
    <w:rsid w:val="00C37A61"/>
    <w:rsid w:val="00C431B7"/>
    <w:rsid w:val="00C437AB"/>
    <w:rsid w:val="00C454E1"/>
    <w:rsid w:val="00C4556A"/>
    <w:rsid w:val="00C46FF1"/>
    <w:rsid w:val="00C47CC7"/>
    <w:rsid w:val="00C47F2D"/>
    <w:rsid w:val="00C517E6"/>
    <w:rsid w:val="00C52265"/>
    <w:rsid w:val="00C52FDA"/>
    <w:rsid w:val="00C53497"/>
    <w:rsid w:val="00C55512"/>
    <w:rsid w:val="00C66D6D"/>
    <w:rsid w:val="00C702A4"/>
    <w:rsid w:val="00C70FB7"/>
    <w:rsid w:val="00C71EB0"/>
    <w:rsid w:val="00C731EF"/>
    <w:rsid w:val="00C74643"/>
    <w:rsid w:val="00C74FBB"/>
    <w:rsid w:val="00C77E34"/>
    <w:rsid w:val="00C77EA8"/>
    <w:rsid w:val="00C83280"/>
    <w:rsid w:val="00C85B2E"/>
    <w:rsid w:val="00C85F8A"/>
    <w:rsid w:val="00C86026"/>
    <w:rsid w:val="00C87EF9"/>
    <w:rsid w:val="00C93EFC"/>
    <w:rsid w:val="00C94D9C"/>
    <w:rsid w:val="00C95750"/>
    <w:rsid w:val="00C958C7"/>
    <w:rsid w:val="00C96F29"/>
    <w:rsid w:val="00C9702D"/>
    <w:rsid w:val="00CA1345"/>
    <w:rsid w:val="00CA147C"/>
    <w:rsid w:val="00CA1F75"/>
    <w:rsid w:val="00CA238F"/>
    <w:rsid w:val="00CA41C3"/>
    <w:rsid w:val="00CA532F"/>
    <w:rsid w:val="00CB03B3"/>
    <w:rsid w:val="00CB187C"/>
    <w:rsid w:val="00CB1C84"/>
    <w:rsid w:val="00CB1D0F"/>
    <w:rsid w:val="00CB2B01"/>
    <w:rsid w:val="00CB5679"/>
    <w:rsid w:val="00CB5B68"/>
    <w:rsid w:val="00CB6F3E"/>
    <w:rsid w:val="00CC49F3"/>
    <w:rsid w:val="00CC4BC5"/>
    <w:rsid w:val="00CC6BF9"/>
    <w:rsid w:val="00CD09FA"/>
    <w:rsid w:val="00CD5FB9"/>
    <w:rsid w:val="00CE2ED7"/>
    <w:rsid w:val="00CE3DC2"/>
    <w:rsid w:val="00CF02AD"/>
    <w:rsid w:val="00CF058B"/>
    <w:rsid w:val="00CF2519"/>
    <w:rsid w:val="00CF2D71"/>
    <w:rsid w:val="00CF5B9E"/>
    <w:rsid w:val="00CF6540"/>
    <w:rsid w:val="00CF6A08"/>
    <w:rsid w:val="00CF6D0E"/>
    <w:rsid w:val="00D025EA"/>
    <w:rsid w:val="00D026EE"/>
    <w:rsid w:val="00D02D53"/>
    <w:rsid w:val="00D0577E"/>
    <w:rsid w:val="00D06C34"/>
    <w:rsid w:val="00D07FDC"/>
    <w:rsid w:val="00D12293"/>
    <w:rsid w:val="00D12659"/>
    <w:rsid w:val="00D12E15"/>
    <w:rsid w:val="00D14AD4"/>
    <w:rsid w:val="00D162D7"/>
    <w:rsid w:val="00D16E5B"/>
    <w:rsid w:val="00D212DE"/>
    <w:rsid w:val="00D23792"/>
    <w:rsid w:val="00D27039"/>
    <w:rsid w:val="00D27FB3"/>
    <w:rsid w:val="00D348DE"/>
    <w:rsid w:val="00D35E90"/>
    <w:rsid w:val="00D36D29"/>
    <w:rsid w:val="00D4692C"/>
    <w:rsid w:val="00D5265F"/>
    <w:rsid w:val="00D531D8"/>
    <w:rsid w:val="00D56780"/>
    <w:rsid w:val="00D56CB1"/>
    <w:rsid w:val="00D573CE"/>
    <w:rsid w:val="00D614BB"/>
    <w:rsid w:val="00D62990"/>
    <w:rsid w:val="00D62CA0"/>
    <w:rsid w:val="00D63368"/>
    <w:rsid w:val="00D637CC"/>
    <w:rsid w:val="00D646F0"/>
    <w:rsid w:val="00D6490D"/>
    <w:rsid w:val="00D64A5F"/>
    <w:rsid w:val="00D65A03"/>
    <w:rsid w:val="00D65B5A"/>
    <w:rsid w:val="00D66252"/>
    <w:rsid w:val="00D67784"/>
    <w:rsid w:val="00D70262"/>
    <w:rsid w:val="00D71A37"/>
    <w:rsid w:val="00D72805"/>
    <w:rsid w:val="00D72D6C"/>
    <w:rsid w:val="00D744C6"/>
    <w:rsid w:val="00D76799"/>
    <w:rsid w:val="00D778AC"/>
    <w:rsid w:val="00D77F5C"/>
    <w:rsid w:val="00D80651"/>
    <w:rsid w:val="00D8171D"/>
    <w:rsid w:val="00D81C73"/>
    <w:rsid w:val="00D81C8D"/>
    <w:rsid w:val="00D82BCA"/>
    <w:rsid w:val="00D84A37"/>
    <w:rsid w:val="00D859F7"/>
    <w:rsid w:val="00D905C3"/>
    <w:rsid w:val="00D91CA1"/>
    <w:rsid w:val="00D92EB3"/>
    <w:rsid w:val="00D97665"/>
    <w:rsid w:val="00D97C46"/>
    <w:rsid w:val="00DA004C"/>
    <w:rsid w:val="00DA2736"/>
    <w:rsid w:val="00DA2B4D"/>
    <w:rsid w:val="00DA31D3"/>
    <w:rsid w:val="00DA530F"/>
    <w:rsid w:val="00DA6594"/>
    <w:rsid w:val="00DB17A1"/>
    <w:rsid w:val="00DB29F0"/>
    <w:rsid w:val="00DB4A69"/>
    <w:rsid w:val="00DB5571"/>
    <w:rsid w:val="00DB787C"/>
    <w:rsid w:val="00DC0484"/>
    <w:rsid w:val="00DC1A59"/>
    <w:rsid w:val="00DC3C09"/>
    <w:rsid w:val="00DC44A6"/>
    <w:rsid w:val="00DC4F7A"/>
    <w:rsid w:val="00DC7E10"/>
    <w:rsid w:val="00DD31C2"/>
    <w:rsid w:val="00DD7941"/>
    <w:rsid w:val="00DE0FC1"/>
    <w:rsid w:val="00DE2A58"/>
    <w:rsid w:val="00DE3774"/>
    <w:rsid w:val="00DE3D11"/>
    <w:rsid w:val="00DE5056"/>
    <w:rsid w:val="00DE769C"/>
    <w:rsid w:val="00DE7FB4"/>
    <w:rsid w:val="00DF1BD9"/>
    <w:rsid w:val="00DF1E3E"/>
    <w:rsid w:val="00DF38E1"/>
    <w:rsid w:val="00E010C4"/>
    <w:rsid w:val="00E01EA3"/>
    <w:rsid w:val="00E02EA8"/>
    <w:rsid w:val="00E03061"/>
    <w:rsid w:val="00E0484D"/>
    <w:rsid w:val="00E06868"/>
    <w:rsid w:val="00E06C50"/>
    <w:rsid w:val="00E06DC3"/>
    <w:rsid w:val="00E15EF1"/>
    <w:rsid w:val="00E1622A"/>
    <w:rsid w:val="00E1701A"/>
    <w:rsid w:val="00E17A50"/>
    <w:rsid w:val="00E209ED"/>
    <w:rsid w:val="00E2214A"/>
    <w:rsid w:val="00E233EC"/>
    <w:rsid w:val="00E24225"/>
    <w:rsid w:val="00E24774"/>
    <w:rsid w:val="00E24D58"/>
    <w:rsid w:val="00E27B6D"/>
    <w:rsid w:val="00E30C5F"/>
    <w:rsid w:val="00E35A3A"/>
    <w:rsid w:val="00E37169"/>
    <w:rsid w:val="00E4019C"/>
    <w:rsid w:val="00E40686"/>
    <w:rsid w:val="00E43ACA"/>
    <w:rsid w:val="00E44A0B"/>
    <w:rsid w:val="00E454F1"/>
    <w:rsid w:val="00E51215"/>
    <w:rsid w:val="00E51F08"/>
    <w:rsid w:val="00E535EB"/>
    <w:rsid w:val="00E64FA1"/>
    <w:rsid w:val="00E7023B"/>
    <w:rsid w:val="00E70A63"/>
    <w:rsid w:val="00E72B82"/>
    <w:rsid w:val="00E733CA"/>
    <w:rsid w:val="00E74983"/>
    <w:rsid w:val="00E74D6C"/>
    <w:rsid w:val="00E77536"/>
    <w:rsid w:val="00E81F95"/>
    <w:rsid w:val="00E82328"/>
    <w:rsid w:val="00E82E08"/>
    <w:rsid w:val="00E8394C"/>
    <w:rsid w:val="00E83E13"/>
    <w:rsid w:val="00E85374"/>
    <w:rsid w:val="00E85470"/>
    <w:rsid w:val="00E85719"/>
    <w:rsid w:val="00E86578"/>
    <w:rsid w:val="00E87282"/>
    <w:rsid w:val="00E90C60"/>
    <w:rsid w:val="00E913A6"/>
    <w:rsid w:val="00E92248"/>
    <w:rsid w:val="00E941B7"/>
    <w:rsid w:val="00E950D5"/>
    <w:rsid w:val="00E9568E"/>
    <w:rsid w:val="00E95C6A"/>
    <w:rsid w:val="00EA0450"/>
    <w:rsid w:val="00EA1452"/>
    <w:rsid w:val="00EA2EA7"/>
    <w:rsid w:val="00EA5FEC"/>
    <w:rsid w:val="00EA685E"/>
    <w:rsid w:val="00EB6D21"/>
    <w:rsid w:val="00EC038D"/>
    <w:rsid w:val="00EC10D9"/>
    <w:rsid w:val="00EC16A1"/>
    <w:rsid w:val="00EC39E1"/>
    <w:rsid w:val="00EC5229"/>
    <w:rsid w:val="00EC655B"/>
    <w:rsid w:val="00EC6DFA"/>
    <w:rsid w:val="00ED0CEF"/>
    <w:rsid w:val="00ED2999"/>
    <w:rsid w:val="00ED3654"/>
    <w:rsid w:val="00ED4097"/>
    <w:rsid w:val="00ED4AB3"/>
    <w:rsid w:val="00ED748F"/>
    <w:rsid w:val="00EE1D02"/>
    <w:rsid w:val="00EE3B6B"/>
    <w:rsid w:val="00EE78E4"/>
    <w:rsid w:val="00EE7EB7"/>
    <w:rsid w:val="00EF0511"/>
    <w:rsid w:val="00EF12EB"/>
    <w:rsid w:val="00EF35CA"/>
    <w:rsid w:val="00EF452C"/>
    <w:rsid w:val="00EF4854"/>
    <w:rsid w:val="00EF61CA"/>
    <w:rsid w:val="00EF6D1B"/>
    <w:rsid w:val="00EF7FCF"/>
    <w:rsid w:val="00F00969"/>
    <w:rsid w:val="00F01311"/>
    <w:rsid w:val="00F032C0"/>
    <w:rsid w:val="00F0675D"/>
    <w:rsid w:val="00F10B39"/>
    <w:rsid w:val="00F134D1"/>
    <w:rsid w:val="00F13B19"/>
    <w:rsid w:val="00F13FF7"/>
    <w:rsid w:val="00F145A7"/>
    <w:rsid w:val="00F148F6"/>
    <w:rsid w:val="00F16EB7"/>
    <w:rsid w:val="00F1740F"/>
    <w:rsid w:val="00F2123F"/>
    <w:rsid w:val="00F212AF"/>
    <w:rsid w:val="00F25625"/>
    <w:rsid w:val="00F26B7A"/>
    <w:rsid w:val="00F301AE"/>
    <w:rsid w:val="00F308A9"/>
    <w:rsid w:val="00F316A5"/>
    <w:rsid w:val="00F329B7"/>
    <w:rsid w:val="00F33082"/>
    <w:rsid w:val="00F36A57"/>
    <w:rsid w:val="00F40121"/>
    <w:rsid w:val="00F41B96"/>
    <w:rsid w:val="00F422B3"/>
    <w:rsid w:val="00F42CAD"/>
    <w:rsid w:val="00F44DE8"/>
    <w:rsid w:val="00F463E8"/>
    <w:rsid w:val="00F4770A"/>
    <w:rsid w:val="00F502BB"/>
    <w:rsid w:val="00F508E6"/>
    <w:rsid w:val="00F53DE5"/>
    <w:rsid w:val="00F55C65"/>
    <w:rsid w:val="00F55F34"/>
    <w:rsid w:val="00F61A32"/>
    <w:rsid w:val="00F628AB"/>
    <w:rsid w:val="00F63DC8"/>
    <w:rsid w:val="00F6742C"/>
    <w:rsid w:val="00F6774F"/>
    <w:rsid w:val="00F70DAF"/>
    <w:rsid w:val="00F72310"/>
    <w:rsid w:val="00F76344"/>
    <w:rsid w:val="00F775E6"/>
    <w:rsid w:val="00F80470"/>
    <w:rsid w:val="00F8330A"/>
    <w:rsid w:val="00F83F73"/>
    <w:rsid w:val="00F84149"/>
    <w:rsid w:val="00F8470A"/>
    <w:rsid w:val="00F93780"/>
    <w:rsid w:val="00FA0BA6"/>
    <w:rsid w:val="00FA460E"/>
    <w:rsid w:val="00FA79AF"/>
    <w:rsid w:val="00FB04E6"/>
    <w:rsid w:val="00FB08D9"/>
    <w:rsid w:val="00FB0985"/>
    <w:rsid w:val="00FB41B1"/>
    <w:rsid w:val="00FB4339"/>
    <w:rsid w:val="00FB4743"/>
    <w:rsid w:val="00FB5C33"/>
    <w:rsid w:val="00FC536F"/>
    <w:rsid w:val="00FC6850"/>
    <w:rsid w:val="00FC6F07"/>
    <w:rsid w:val="00FD160A"/>
    <w:rsid w:val="00FD174A"/>
    <w:rsid w:val="00FD209E"/>
    <w:rsid w:val="00FD2657"/>
    <w:rsid w:val="00FD3A56"/>
    <w:rsid w:val="00FD3C19"/>
    <w:rsid w:val="00FD52F9"/>
    <w:rsid w:val="00FD5F5C"/>
    <w:rsid w:val="00FD6DC7"/>
    <w:rsid w:val="00FD7874"/>
    <w:rsid w:val="00FE005C"/>
    <w:rsid w:val="00FE2D62"/>
    <w:rsid w:val="00FE53D5"/>
    <w:rsid w:val="00FE5731"/>
    <w:rsid w:val="00FE61A1"/>
    <w:rsid w:val="00FF01B4"/>
    <w:rsid w:val="00FF140A"/>
    <w:rsid w:val="00FF43FE"/>
    <w:rsid w:val="00FF7C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9814"/>
  <w15:chartTrackingRefBased/>
  <w15:docId w15:val="{55F44257-040D-4F2D-93BB-82A0CC87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B08"/>
    <w:pPr>
      <w:spacing w:after="120" w:line="240" w:lineRule="auto"/>
    </w:pPr>
    <w:rPr>
      <w:rFonts w:ascii="Calibri" w:eastAsia="Times New Roman" w:hAnsi="Calibri" w:cs="Times New Roman"/>
      <w:lang w:val="nb-NO"/>
    </w:rPr>
  </w:style>
  <w:style w:type="paragraph" w:styleId="Heading1">
    <w:name w:val="heading 1"/>
    <w:basedOn w:val="Normal"/>
    <w:next w:val="Normal"/>
    <w:link w:val="Heading1Char"/>
    <w:qFormat/>
    <w:rsid w:val="00997E35"/>
    <w:pPr>
      <w:keepNext/>
      <w:numPr>
        <w:numId w:val="7"/>
      </w:numPr>
      <w:spacing w:before="240" w:after="60"/>
      <w:outlineLvl w:val="0"/>
    </w:pPr>
    <w:rPr>
      <w:b/>
      <w:bCs/>
      <w:caps/>
      <w:kern w:val="32"/>
      <w:sz w:val="24"/>
      <w:szCs w:val="32"/>
      <w:lang w:val="en-US"/>
    </w:rPr>
  </w:style>
  <w:style w:type="paragraph" w:styleId="Heading2">
    <w:name w:val="heading 2"/>
    <w:basedOn w:val="Normal"/>
    <w:next w:val="Normal"/>
    <w:link w:val="Heading2Char"/>
    <w:unhideWhenUsed/>
    <w:qFormat/>
    <w:rsid w:val="00997E35"/>
    <w:pPr>
      <w:numPr>
        <w:ilvl w:val="1"/>
        <w:numId w:val="7"/>
      </w:numPr>
      <w:snapToGrid w:val="0"/>
      <w:spacing w:before="240"/>
      <w:outlineLvl w:val="1"/>
    </w:pPr>
    <w:rPr>
      <w:b/>
      <w:color w:val="000000"/>
      <w:szCs w:val="24"/>
      <w:u w:color="000000"/>
      <w:lang w:val="en-GB"/>
    </w:rPr>
  </w:style>
  <w:style w:type="paragraph" w:styleId="Heading3">
    <w:name w:val="heading 3"/>
    <w:basedOn w:val="Normal"/>
    <w:next w:val="Normal"/>
    <w:link w:val="Heading3Char"/>
    <w:unhideWhenUsed/>
    <w:qFormat/>
    <w:rsid w:val="00997E35"/>
    <w:pPr>
      <w:keepNext/>
      <w:numPr>
        <w:ilvl w:val="2"/>
        <w:numId w:val="7"/>
      </w:numPr>
      <w:spacing w:before="240" w:after="60"/>
      <w:outlineLvl w:val="2"/>
    </w:pPr>
    <w:rPr>
      <w:rFonts w:ascii="Times New Roman" w:hAnsi="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B0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oot note,Bullet Points,Liste Paragraf"/>
    <w:basedOn w:val="Normal"/>
    <w:link w:val="ListParagraphChar"/>
    <w:uiPriority w:val="34"/>
    <w:qFormat/>
    <w:rsid w:val="005F3E84"/>
    <w:pPr>
      <w:ind w:left="720"/>
      <w:contextualSpacing/>
    </w:pPr>
  </w:style>
  <w:style w:type="character" w:customStyle="1" w:styleId="Heading1Char">
    <w:name w:val="Heading 1 Char"/>
    <w:basedOn w:val="DefaultParagraphFont"/>
    <w:link w:val="Heading1"/>
    <w:rsid w:val="00997E35"/>
    <w:rPr>
      <w:rFonts w:ascii="Calibri" w:eastAsia="Times New Roman" w:hAnsi="Calibri" w:cs="Times New Roman"/>
      <w:b/>
      <w:bCs/>
      <w:caps/>
      <w:kern w:val="32"/>
      <w:sz w:val="24"/>
      <w:szCs w:val="32"/>
      <w:lang w:val="en-US"/>
    </w:rPr>
  </w:style>
  <w:style w:type="character" w:customStyle="1" w:styleId="Heading2Char">
    <w:name w:val="Heading 2 Char"/>
    <w:basedOn w:val="DefaultParagraphFont"/>
    <w:link w:val="Heading2"/>
    <w:rsid w:val="00997E35"/>
    <w:rPr>
      <w:rFonts w:ascii="Calibri" w:eastAsia="Times New Roman" w:hAnsi="Calibri" w:cs="Times New Roman"/>
      <w:b/>
      <w:color w:val="000000"/>
      <w:szCs w:val="24"/>
      <w:u w:color="000000"/>
      <w:lang w:val="en-GB"/>
    </w:rPr>
  </w:style>
  <w:style w:type="character" w:customStyle="1" w:styleId="Heading3Char">
    <w:name w:val="Heading 3 Char"/>
    <w:basedOn w:val="DefaultParagraphFont"/>
    <w:link w:val="Heading3"/>
    <w:rsid w:val="00997E35"/>
    <w:rPr>
      <w:rFonts w:ascii="Times New Roman" w:eastAsia="Times New Roman" w:hAnsi="Times New Roman" w:cs="Times New Roman"/>
      <w:b/>
      <w:bCs/>
      <w:sz w:val="24"/>
      <w:szCs w:val="26"/>
      <w:lang w:val="en-US"/>
    </w:rPr>
  </w:style>
  <w:style w:type="character" w:styleId="Hyperlink">
    <w:name w:val="Hyperlink"/>
    <w:uiPriority w:val="99"/>
    <w:unhideWhenUsed/>
    <w:rsid w:val="00997E35"/>
    <w:rPr>
      <w:color w:val="0000FF"/>
      <w:u w:val="single"/>
    </w:rPr>
  </w:style>
  <w:style w:type="paragraph" w:styleId="EndnoteText">
    <w:name w:val="endnote text"/>
    <w:basedOn w:val="Normal"/>
    <w:link w:val="EndnoteTextChar"/>
    <w:uiPriority w:val="99"/>
    <w:semiHidden/>
    <w:unhideWhenUsed/>
    <w:rsid w:val="00997E35"/>
    <w:pPr>
      <w:spacing w:after="200" w:line="276" w:lineRule="auto"/>
    </w:pPr>
    <w:rPr>
      <w:rFonts w:eastAsia="Calibri"/>
      <w:sz w:val="20"/>
      <w:szCs w:val="20"/>
      <w:lang w:val="en-GB"/>
    </w:rPr>
  </w:style>
  <w:style w:type="character" w:customStyle="1" w:styleId="EndnoteTextChar">
    <w:name w:val="Endnote Text Char"/>
    <w:basedOn w:val="DefaultParagraphFont"/>
    <w:link w:val="EndnoteText"/>
    <w:uiPriority w:val="99"/>
    <w:semiHidden/>
    <w:rsid w:val="00997E35"/>
    <w:rPr>
      <w:rFonts w:ascii="Calibri" w:eastAsia="Calibri" w:hAnsi="Calibri" w:cs="Times New Roman"/>
      <w:sz w:val="20"/>
      <w:szCs w:val="20"/>
      <w:lang w:val="en-GB"/>
    </w:rPr>
  </w:style>
  <w:style w:type="character" w:styleId="EndnoteReference">
    <w:name w:val="endnote reference"/>
    <w:uiPriority w:val="99"/>
    <w:semiHidden/>
    <w:unhideWhenUsed/>
    <w:rsid w:val="00997E35"/>
    <w:rPr>
      <w:vertAlign w:val="superscript"/>
    </w:rPr>
  </w:style>
  <w:style w:type="table" w:styleId="TableGrid">
    <w:name w:val="Table Grid"/>
    <w:basedOn w:val="TableNormal"/>
    <w:uiPriority w:val="39"/>
    <w:rsid w:val="008D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2D100A"/>
    <w:pPr>
      <w:spacing w:after="0"/>
    </w:pPr>
    <w:rPr>
      <w:sz w:val="20"/>
      <w:szCs w:val="20"/>
    </w:rPr>
  </w:style>
  <w:style w:type="character" w:customStyle="1" w:styleId="FootnoteTextChar">
    <w:name w:val="Footnote Text Char"/>
    <w:basedOn w:val="DefaultParagraphFont"/>
    <w:link w:val="FootnoteText"/>
    <w:semiHidden/>
    <w:rsid w:val="002D100A"/>
    <w:rPr>
      <w:rFonts w:ascii="Calibri" w:eastAsia="Times New Roman" w:hAnsi="Calibri" w:cs="Times New Roman"/>
      <w:sz w:val="20"/>
      <w:szCs w:val="20"/>
      <w:lang w:val="nb-NO"/>
    </w:rPr>
  </w:style>
  <w:style w:type="character" w:styleId="FootnoteReference">
    <w:name w:val="footnote reference"/>
    <w:aliases w:val="BVI fnr"/>
    <w:basedOn w:val="DefaultParagraphFont"/>
    <w:link w:val="Char2"/>
    <w:unhideWhenUsed/>
    <w:qFormat/>
    <w:rsid w:val="002D100A"/>
    <w:rPr>
      <w:vertAlign w:val="superscript"/>
    </w:rPr>
  </w:style>
  <w:style w:type="paragraph" w:customStyle="1" w:styleId="Subparagraph">
    <w:name w:val="Subparagraph"/>
    <w:basedOn w:val="Paragraph"/>
    <w:link w:val="SubparagraphCharChar"/>
    <w:autoRedefine/>
    <w:rsid w:val="004A5900"/>
    <w:pPr>
      <w:numPr>
        <w:numId w:val="15"/>
      </w:numPr>
      <w:spacing w:line="240" w:lineRule="auto"/>
    </w:pPr>
    <w:rPr>
      <w:rFonts w:cs="Arial"/>
    </w:rPr>
  </w:style>
  <w:style w:type="paragraph" w:customStyle="1" w:styleId="Paragraph">
    <w:name w:val="Paragraph"/>
    <w:basedOn w:val="Normal"/>
    <w:link w:val="ParagraphCharChar"/>
    <w:autoRedefine/>
    <w:rsid w:val="009562FD"/>
    <w:pPr>
      <w:spacing w:after="60" w:line="259" w:lineRule="auto"/>
    </w:pPr>
    <w:rPr>
      <w:lang w:val="en-US"/>
    </w:rPr>
  </w:style>
  <w:style w:type="character" w:customStyle="1" w:styleId="ParagraphCharChar">
    <w:name w:val="Paragraph Char Char"/>
    <w:link w:val="Paragraph"/>
    <w:locked/>
    <w:rsid w:val="009562FD"/>
    <w:rPr>
      <w:rFonts w:ascii="Calibri" w:eastAsia="Times New Roman" w:hAnsi="Calibri" w:cs="Times New Roman"/>
      <w:lang w:val="en-US"/>
    </w:rPr>
  </w:style>
  <w:style w:type="character" w:customStyle="1" w:styleId="SubparagraphCharChar">
    <w:name w:val="Subparagraph Char Char"/>
    <w:link w:val="Subparagraph"/>
    <w:locked/>
    <w:rsid w:val="004A5900"/>
    <w:rPr>
      <w:rFonts w:ascii="Calibri" w:eastAsia="Times New Roman" w:hAnsi="Calibri" w:cs="Arial"/>
      <w:lang w:val="en-US"/>
    </w:rPr>
  </w:style>
  <w:style w:type="character" w:customStyle="1" w:styleId="ListParagraphChar">
    <w:name w:val="List Paragraph Char"/>
    <w:aliases w:val="Foot note Char,Bullet Points Char,Liste Paragraf Char"/>
    <w:basedOn w:val="DefaultParagraphFont"/>
    <w:link w:val="ListParagraph"/>
    <w:uiPriority w:val="34"/>
    <w:locked/>
    <w:rsid w:val="009053E3"/>
    <w:rPr>
      <w:rFonts w:ascii="Calibri" w:eastAsia="Times New Roman" w:hAnsi="Calibri" w:cs="Times New Roman"/>
      <w:lang w:val="nb-NO"/>
    </w:rPr>
  </w:style>
  <w:style w:type="paragraph" w:styleId="Title">
    <w:name w:val="Title"/>
    <w:basedOn w:val="Normal"/>
    <w:next w:val="Normal"/>
    <w:link w:val="TitleChar"/>
    <w:uiPriority w:val="10"/>
    <w:qFormat/>
    <w:rsid w:val="008336C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6CF"/>
    <w:rPr>
      <w:rFonts w:asciiTheme="majorHAnsi" w:eastAsiaTheme="majorEastAsia" w:hAnsiTheme="majorHAnsi" w:cstheme="majorBidi"/>
      <w:spacing w:val="-10"/>
      <w:kern w:val="28"/>
      <w:sz w:val="56"/>
      <w:szCs w:val="56"/>
      <w:lang w:val="nb-NO"/>
    </w:rPr>
  </w:style>
  <w:style w:type="paragraph" w:customStyle="1" w:styleId="Char2">
    <w:name w:val="Char2"/>
    <w:basedOn w:val="Normal"/>
    <w:link w:val="FootnoteReference"/>
    <w:rsid w:val="0068397A"/>
    <w:pPr>
      <w:spacing w:after="160" w:line="240" w:lineRule="exact"/>
      <w:jc w:val="both"/>
    </w:pPr>
    <w:rPr>
      <w:rFonts w:asciiTheme="minorHAnsi" w:eastAsiaTheme="minorHAnsi" w:hAnsiTheme="minorHAnsi" w:cstheme="minorBidi"/>
      <w:vertAlign w:val="superscript"/>
      <w:lang w:val="et-EE"/>
    </w:rPr>
  </w:style>
  <w:style w:type="paragraph" w:styleId="NormalWeb">
    <w:name w:val="Normal (Web)"/>
    <w:basedOn w:val="Normal"/>
    <w:uiPriority w:val="99"/>
    <w:unhideWhenUsed/>
    <w:rsid w:val="0068397A"/>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FF7C4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C44"/>
    <w:rPr>
      <w:rFonts w:ascii="Segoe UI" w:eastAsia="Times New Roman" w:hAnsi="Segoe UI" w:cs="Segoe UI"/>
      <w:sz w:val="18"/>
      <w:szCs w:val="18"/>
      <w:lang w:val="nb-NO"/>
    </w:rPr>
  </w:style>
  <w:style w:type="paragraph" w:styleId="Header">
    <w:name w:val="header"/>
    <w:basedOn w:val="Normal"/>
    <w:link w:val="HeaderChar"/>
    <w:uiPriority w:val="99"/>
    <w:unhideWhenUsed/>
    <w:rsid w:val="00DB29F0"/>
    <w:pPr>
      <w:tabs>
        <w:tab w:val="center" w:pos="4536"/>
        <w:tab w:val="right" w:pos="9072"/>
      </w:tabs>
      <w:spacing w:after="0"/>
    </w:pPr>
  </w:style>
  <w:style w:type="character" w:customStyle="1" w:styleId="HeaderChar">
    <w:name w:val="Header Char"/>
    <w:basedOn w:val="DefaultParagraphFont"/>
    <w:link w:val="Header"/>
    <w:uiPriority w:val="99"/>
    <w:rsid w:val="00DB29F0"/>
    <w:rPr>
      <w:rFonts w:ascii="Calibri" w:eastAsia="Times New Roman" w:hAnsi="Calibri" w:cs="Times New Roman"/>
      <w:lang w:val="nb-NO"/>
    </w:rPr>
  </w:style>
  <w:style w:type="paragraph" w:styleId="Footer">
    <w:name w:val="footer"/>
    <w:basedOn w:val="Normal"/>
    <w:link w:val="FooterChar"/>
    <w:uiPriority w:val="99"/>
    <w:unhideWhenUsed/>
    <w:rsid w:val="00DB29F0"/>
    <w:pPr>
      <w:tabs>
        <w:tab w:val="center" w:pos="4536"/>
        <w:tab w:val="right" w:pos="9072"/>
      </w:tabs>
      <w:spacing w:after="0"/>
    </w:pPr>
  </w:style>
  <w:style w:type="character" w:customStyle="1" w:styleId="FooterChar">
    <w:name w:val="Footer Char"/>
    <w:basedOn w:val="DefaultParagraphFont"/>
    <w:link w:val="Footer"/>
    <w:uiPriority w:val="99"/>
    <w:rsid w:val="00DB29F0"/>
    <w:rPr>
      <w:rFonts w:ascii="Calibri" w:eastAsia="Times New Roman" w:hAnsi="Calibri" w:cs="Times New Roman"/>
      <w:lang w:val="nb-NO"/>
    </w:rPr>
  </w:style>
  <w:style w:type="character" w:styleId="CommentReference">
    <w:name w:val="annotation reference"/>
    <w:basedOn w:val="DefaultParagraphFont"/>
    <w:uiPriority w:val="99"/>
    <w:semiHidden/>
    <w:unhideWhenUsed/>
    <w:rsid w:val="00B07798"/>
    <w:rPr>
      <w:sz w:val="16"/>
      <w:szCs w:val="16"/>
    </w:rPr>
  </w:style>
  <w:style w:type="paragraph" w:styleId="CommentText">
    <w:name w:val="annotation text"/>
    <w:basedOn w:val="Normal"/>
    <w:link w:val="CommentTextChar"/>
    <w:uiPriority w:val="99"/>
    <w:semiHidden/>
    <w:unhideWhenUsed/>
    <w:rsid w:val="00B07798"/>
    <w:rPr>
      <w:sz w:val="20"/>
      <w:szCs w:val="20"/>
    </w:rPr>
  </w:style>
  <w:style w:type="character" w:customStyle="1" w:styleId="CommentTextChar">
    <w:name w:val="Comment Text Char"/>
    <w:basedOn w:val="DefaultParagraphFont"/>
    <w:link w:val="CommentText"/>
    <w:uiPriority w:val="99"/>
    <w:semiHidden/>
    <w:rsid w:val="00B07798"/>
    <w:rPr>
      <w:rFonts w:ascii="Calibri" w:eastAsia="Times New Roman" w:hAnsi="Calibri" w:cs="Times New Roman"/>
      <w:sz w:val="20"/>
      <w:szCs w:val="20"/>
      <w:lang w:val="nb-NO"/>
    </w:rPr>
  </w:style>
  <w:style w:type="paragraph" w:styleId="CommentSubject">
    <w:name w:val="annotation subject"/>
    <w:basedOn w:val="CommentText"/>
    <w:next w:val="CommentText"/>
    <w:link w:val="CommentSubjectChar"/>
    <w:uiPriority w:val="99"/>
    <w:semiHidden/>
    <w:unhideWhenUsed/>
    <w:rsid w:val="00B07798"/>
    <w:rPr>
      <w:b/>
      <w:bCs/>
    </w:rPr>
  </w:style>
  <w:style w:type="character" w:customStyle="1" w:styleId="CommentSubjectChar">
    <w:name w:val="Comment Subject Char"/>
    <w:basedOn w:val="CommentTextChar"/>
    <w:link w:val="CommentSubject"/>
    <w:uiPriority w:val="99"/>
    <w:semiHidden/>
    <w:rsid w:val="00B07798"/>
    <w:rPr>
      <w:rFonts w:ascii="Calibri" w:eastAsia="Times New Roman" w:hAnsi="Calibri" w:cs="Times New Roman"/>
      <w:b/>
      <w:bCs/>
      <w:sz w:val="20"/>
      <w:szCs w:val="20"/>
      <w:lang w:val="nb-NO"/>
    </w:rPr>
  </w:style>
  <w:style w:type="character" w:styleId="UnresolvedMention">
    <w:name w:val="Unresolved Mention"/>
    <w:basedOn w:val="DefaultParagraphFont"/>
    <w:uiPriority w:val="99"/>
    <w:semiHidden/>
    <w:unhideWhenUsed/>
    <w:rsid w:val="007927B3"/>
    <w:rPr>
      <w:color w:val="605E5C"/>
      <w:shd w:val="clear" w:color="auto" w:fill="E1DFDD"/>
    </w:rPr>
  </w:style>
  <w:style w:type="character" w:styleId="FollowedHyperlink">
    <w:name w:val="FollowedHyperlink"/>
    <w:basedOn w:val="DefaultParagraphFont"/>
    <w:uiPriority w:val="99"/>
    <w:semiHidden/>
    <w:unhideWhenUsed/>
    <w:rsid w:val="007927B3"/>
    <w:rPr>
      <w:color w:val="954F72" w:themeColor="followedHyperlink"/>
      <w:u w:val="single"/>
    </w:rPr>
  </w:style>
  <w:style w:type="paragraph" w:styleId="Revision">
    <w:name w:val="Revision"/>
    <w:hidden/>
    <w:uiPriority w:val="99"/>
    <w:semiHidden/>
    <w:rsid w:val="002D1DA5"/>
    <w:pPr>
      <w:spacing w:after="0" w:line="240" w:lineRule="auto"/>
    </w:pPr>
    <w:rPr>
      <w:rFonts w:ascii="Calibri" w:eastAsia="Times New Roman" w:hAnsi="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487710">
      <w:bodyDiv w:val="1"/>
      <w:marLeft w:val="0"/>
      <w:marRight w:val="0"/>
      <w:marTop w:val="0"/>
      <w:marBottom w:val="0"/>
      <w:divBdr>
        <w:top w:val="none" w:sz="0" w:space="0" w:color="auto"/>
        <w:left w:val="none" w:sz="0" w:space="0" w:color="auto"/>
        <w:bottom w:val="none" w:sz="0" w:space="0" w:color="auto"/>
        <w:right w:val="none" w:sz="0" w:space="0" w:color="auto"/>
      </w:divBdr>
    </w:div>
    <w:div w:id="422729182">
      <w:bodyDiv w:val="1"/>
      <w:marLeft w:val="0"/>
      <w:marRight w:val="0"/>
      <w:marTop w:val="0"/>
      <w:marBottom w:val="0"/>
      <w:divBdr>
        <w:top w:val="none" w:sz="0" w:space="0" w:color="auto"/>
        <w:left w:val="none" w:sz="0" w:space="0" w:color="auto"/>
        <w:bottom w:val="none" w:sz="0" w:space="0" w:color="auto"/>
        <w:right w:val="none" w:sz="0" w:space="0" w:color="auto"/>
      </w:divBdr>
    </w:div>
    <w:div w:id="561599451">
      <w:bodyDiv w:val="1"/>
      <w:marLeft w:val="0"/>
      <w:marRight w:val="0"/>
      <w:marTop w:val="0"/>
      <w:marBottom w:val="0"/>
      <w:divBdr>
        <w:top w:val="none" w:sz="0" w:space="0" w:color="auto"/>
        <w:left w:val="none" w:sz="0" w:space="0" w:color="auto"/>
        <w:bottom w:val="none" w:sz="0" w:space="0" w:color="auto"/>
        <w:right w:val="none" w:sz="0" w:space="0" w:color="auto"/>
      </w:divBdr>
    </w:div>
    <w:div w:id="7922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f@oef.org.e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eagrant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cf@oef.org.e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f.ee/en/calls/filing-a-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F9C936D3DC6545A310CB020C35881B" ma:contentTypeVersion="12" ma:contentTypeDescription="Create a new document." ma:contentTypeScope="" ma:versionID="8887348b49efa50a36e6a72fcf31b5b6">
  <xsd:schema xmlns:xsd="http://www.w3.org/2001/XMLSchema" xmlns:xs="http://www.w3.org/2001/XMLSchema" xmlns:p="http://schemas.microsoft.com/office/2006/metadata/properties" xmlns:ns2="35389891-8de5-45a6-aec7-71782c977f7b" xmlns:ns3="d9658b4d-f511-4e8c-938e-dc17c0fbc5e4" targetNamespace="http://schemas.microsoft.com/office/2006/metadata/properties" ma:root="true" ma:fieldsID="460889f5a5b5b4454201af723230d093" ns2:_="" ns3:_="">
    <xsd:import namespace="35389891-8de5-45a6-aec7-71782c977f7b"/>
    <xsd:import namespace="d9658b4d-f511-4e8c-938e-dc17c0fbc5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89891-8de5-45a6-aec7-71782c977f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58b4d-f511-4e8c-938e-dc17c0fbc5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1F0E-43C4-4F13-881F-7E4E71272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89891-8de5-45a6-aec7-71782c977f7b"/>
    <ds:schemaRef ds:uri="d9658b4d-f511-4e8c-938e-dc17c0fbc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B057A-401A-4DEF-943B-00F0E14D0215}">
  <ds:schemaRefs>
    <ds:schemaRef ds:uri="http://schemas.microsoft.com/office/2006/documentManagement/types"/>
    <ds:schemaRef ds:uri="http://schemas.openxmlformats.org/package/2006/metadata/core-properties"/>
    <ds:schemaRef ds:uri="http://purl.org/dc/elements/1.1/"/>
    <ds:schemaRef ds:uri="35389891-8de5-45a6-aec7-71782c977f7b"/>
    <ds:schemaRef ds:uri="http://schemas.microsoft.com/office/2006/metadata/properties"/>
    <ds:schemaRef ds:uri="http://purl.org/dc/terms/"/>
    <ds:schemaRef ds:uri="http://schemas.microsoft.com/office/infopath/2007/PartnerControls"/>
    <ds:schemaRef ds:uri="d9658b4d-f511-4e8c-938e-dc17c0fbc5e4"/>
    <ds:schemaRef ds:uri="http://www.w3.org/XML/1998/namespace"/>
    <ds:schemaRef ds:uri="http://purl.org/dc/dcmitype/"/>
  </ds:schemaRefs>
</ds:datastoreItem>
</file>

<file path=customXml/itemProps3.xml><?xml version="1.0" encoding="utf-8"?>
<ds:datastoreItem xmlns:ds="http://schemas.openxmlformats.org/officeDocument/2006/customXml" ds:itemID="{C828FE8C-6527-48F7-93C4-41C9F2D579CC}">
  <ds:schemaRefs>
    <ds:schemaRef ds:uri="http://schemas.microsoft.com/sharepoint/v3/contenttype/forms"/>
  </ds:schemaRefs>
</ds:datastoreItem>
</file>

<file path=customXml/itemProps4.xml><?xml version="1.0" encoding="utf-8"?>
<ds:datastoreItem xmlns:ds="http://schemas.openxmlformats.org/officeDocument/2006/customXml" ds:itemID="{D6882418-4BE9-449C-ADB1-B1CDEAF3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11</Pages>
  <Words>4257</Words>
  <Characters>24694</Characters>
  <Application>Microsoft Office Word</Application>
  <DocSecurity>0</DocSecurity>
  <Lines>205</Lines>
  <Paragraphs>57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Enno</dc:creator>
  <cp:keywords/>
  <dc:description/>
  <cp:lastModifiedBy>Katrin Enno</cp:lastModifiedBy>
  <cp:revision>206</cp:revision>
  <cp:lastPrinted>2021-11-17T09:19:00Z</cp:lastPrinted>
  <dcterms:created xsi:type="dcterms:W3CDTF">2021-09-09T08:01:00Z</dcterms:created>
  <dcterms:modified xsi:type="dcterms:W3CDTF">2021-11-17T09:19:00Z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0x0101004DF9C936D3DC6545A310CB020C35881B</vt:lpwstr>
  </property>
  <property fmtid="{D5CDD505-2E9C-101B-9397-08002B2CF9AE}" pid="3" name="Order">
    <vt:r8>5276800</vt:r8>
  </property>
</Properties>
</file>