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A8126" w14:textId="597C6224" w:rsidR="00B7091E" w:rsidRPr="008B46D5" w:rsidRDefault="00E53D90">
      <w:pPr>
        <w:rPr>
          <w:lang w:val="ru-RU"/>
        </w:rPr>
      </w:pPr>
      <w:r w:rsidRPr="008B46D5">
        <w:rPr>
          <w:rFonts w:cstheme="minorHAnsi"/>
          <w:szCs w:val="24"/>
          <w:lang w:val="ru-RU"/>
        </w:rPr>
        <w:drawing>
          <wp:inline distT="0" distB="0" distL="0" distR="0" wp14:anchorId="708ECA59" wp14:editId="30F59C5D">
            <wp:extent cx="2286000" cy="802318"/>
            <wp:effectExtent l="0" t="0" r="0" b="0"/>
            <wp:docPr id="277257149" name="picture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57149" name="picture" descr="Graphical user interfac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0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DEE6D" w14:textId="5E407BED" w:rsidR="00E53D90" w:rsidRPr="008B46D5" w:rsidRDefault="00E53D90">
      <w:pPr>
        <w:rPr>
          <w:lang w:val="ru-RU"/>
        </w:rPr>
      </w:pPr>
    </w:p>
    <w:p w14:paraId="424942E0" w14:textId="0F976811" w:rsidR="00E53D90" w:rsidRPr="008B46D5" w:rsidRDefault="00E53D90">
      <w:pPr>
        <w:rPr>
          <w:rStyle w:val="Strong"/>
          <w:rFonts w:asciiTheme="majorHAnsi" w:hAnsiTheme="majorHAnsi" w:cstheme="majorHAnsi"/>
          <w:sz w:val="28"/>
          <w:lang w:val="ru-RU"/>
        </w:rPr>
      </w:pPr>
      <w:r w:rsidRPr="008B46D5">
        <w:rPr>
          <w:rStyle w:val="Strong"/>
          <w:rFonts w:asciiTheme="majorHAnsi" w:hAnsiTheme="majorHAnsi" w:cstheme="majorHAnsi"/>
          <w:sz w:val="28"/>
          <w:lang w:val="ru-RU"/>
        </w:rPr>
        <w:t>Конкурс Фонда Активных Граждан на гранты ЕЭЗ по развитию двусторонних отношений</w:t>
      </w:r>
    </w:p>
    <w:p w14:paraId="1A2909DE" w14:textId="5301DCB7" w:rsidR="00E53D90" w:rsidRPr="008B46D5" w:rsidRDefault="00E53D90">
      <w:pPr>
        <w:rPr>
          <w:lang w:val="ru-RU"/>
        </w:rPr>
      </w:pPr>
      <w:r w:rsidRPr="008B46D5">
        <w:rPr>
          <w:lang w:val="ru-RU"/>
        </w:rPr>
        <w:t xml:space="preserve">Фонд открытой Эстонии объявляет конкурс по развитию двусторонних отношений между организациями Эстонии и организациями </w:t>
      </w:r>
      <w:r w:rsidRPr="008B46D5">
        <w:rPr>
          <w:lang w:val="ru-RU"/>
        </w:rPr>
        <w:t xml:space="preserve">из стран </w:t>
      </w:r>
      <w:r w:rsidRPr="008B46D5">
        <w:rPr>
          <w:lang w:val="ru-RU"/>
        </w:rPr>
        <w:t>донор</w:t>
      </w:r>
      <w:r w:rsidRPr="008B46D5">
        <w:rPr>
          <w:lang w:val="ru-RU"/>
        </w:rPr>
        <w:t>ов</w:t>
      </w:r>
      <w:r w:rsidRPr="008B46D5">
        <w:rPr>
          <w:lang w:val="ru-RU"/>
        </w:rPr>
        <w:t xml:space="preserve"> программ</w:t>
      </w:r>
      <w:r w:rsidRPr="008B46D5">
        <w:rPr>
          <w:lang w:val="ru-RU"/>
        </w:rPr>
        <w:t>ы</w:t>
      </w:r>
      <w:r w:rsidRPr="008B46D5">
        <w:rPr>
          <w:lang w:val="ru-RU"/>
        </w:rPr>
        <w:t xml:space="preserve"> Фонда </w:t>
      </w:r>
      <w:r w:rsidRPr="008B46D5">
        <w:rPr>
          <w:lang w:val="ru-RU"/>
        </w:rPr>
        <w:t>А</w:t>
      </w:r>
      <w:r w:rsidRPr="008B46D5">
        <w:rPr>
          <w:lang w:val="ru-RU"/>
        </w:rPr>
        <w:t xml:space="preserve">ктивных </w:t>
      </w:r>
      <w:r w:rsidRPr="008B46D5">
        <w:rPr>
          <w:lang w:val="ru-RU"/>
        </w:rPr>
        <w:t>Г</w:t>
      </w:r>
      <w:r w:rsidRPr="008B46D5">
        <w:rPr>
          <w:lang w:val="ru-RU"/>
        </w:rPr>
        <w:t xml:space="preserve">раждан </w:t>
      </w:r>
      <w:r w:rsidRPr="008B46D5">
        <w:rPr>
          <w:lang w:val="ru-RU"/>
        </w:rPr>
        <w:t>-</w:t>
      </w:r>
      <w:r w:rsidRPr="008B46D5">
        <w:rPr>
          <w:lang w:val="ru-RU"/>
        </w:rPr>
        <w:t xml:space="preserve"> </w:t>
      </w:r>
      <w:r w:rsidRPr="005411CE">
        <w:rPr>
          <w:b/>
          <w:bCs/>
          <w:lang w:val="ru-RU"/>
        </w:rPr>
        <w:t>Норвегии, Исландии и Лихтенштейне</w:t>
      </w:r>
      <w:r w:rsidRPr="008B46D5">
        <w:rPr>
          <w:lang w:val="ru-RU"/>
        </w:rPr>
        <w:t>.</w:t>
      </w:r>
    </w:p>
    <w:p w14:paraId="3A9ADB38" w14:textId="6CC2E18F" w:rsidR="00E53D90" w:rsidRPr="008B46D5" w:rsidRDefault="00E53D90" w:rsidP="00E53D90">
      <w:pPr>
        <w:rPr>
          <w:lang w:val="ru-RU"/>
        </w:rPr>
      </w:pPr>
      <w:r w:rsidRPr="008B46D5">
        <w:rPr>
          <w:lang w:val="ru-RU"/>
        </w:rPr>
        <w:t xml:space="preserve">Одним из приоритетов программы является укрепление двусторонних отношений, обмен знаниями и взаимопонимание посредством создания сетей, обмена опытом и общих достижений между эстонскими и норвежскими, исландскими и лихтенштейнскими организаций гражданского общества </w:t>
      </w:r>
      <w:r w:rsidRPr="008B46D5">
        <w:rPr>
          <w:lang w:val="ru-RU"/>
        </w:rPr>
        <w:t>(ОГО)</w:t>
      </w:r>
      <w:r w:rsidRPr="008B46D5">
        <w:rPr>
          <w:lang w:val="ru-RU"/>
        </w:rPr>
        <w:t>.</w:t>
      </w:r>
    </w:p>
    <w:p w14:paraId="4CCF46B7" w14:textId="757740C0" w:rsidR="00E53D90" w:rsidRPr="008B46D5" w:rsidRDefault="00E53D90" w:rsidP="00E53D90">
      <w:pPr>
        <w:spacing w:after="0" w:line="240" w:lineRule="auto"/>
        <w:jc w:val="both"/>
        <w:rPr>
          <w:rFonts w:cstheme="minorHAnsi"/>
          <w:lang w:val="ru-RU"/>
        </w:rPr>
      </w:pPr>
      <w:r w:rsidRPr="008B46D5">
        <w:rPr>
          <w:lang w:val="ru-RU"/>
        </w:rPr>
        <w:t xml:space="preserve">Поддержка будет оказываться </w:t>
      </w:r>
      <w:r w:rsidRPr="008B46D5">
        <w:rPr>
          <w:b/>
          <w:bCs/>
          <w:lang w:val="ru-RU"/>
        </w:rPr>
        <w:t>действующим в общественных интересах ОГО</w:t>
      </w:r>
      <w:r w:rsidRPr="008B46D5">
        <w:rPr>
          <w:rStyle w:val="FootnoteReference"/>
          <w:b/>
          <w:bCs/>
          <w:lang w:val="ru-RU"/>
        </w:rPr>
        <w:footnoteReference w:id="1"/>
      </w:r>
      <w:r w:rsidRPr="008B46D5">
        <w:rPr>
          <w:lang w:val="ru-RU"/>
        </w:rPr>
        <w:t xml:space="preserve"> в одной из </w:t>
      </w:r>
      <w:r w:rsidRPr="008B46D5">
        <w:rPr>
          <w:color w:val="000000"/>
          <w:lang w:val="ru-RU"/>
        </w:rPr>
        <w:t>следующих пяти областей:</w:t>
      </w:r>
    </w:p>
    <w:p w14:paraId="46D8B9F0" w14:textId="77777777" w:rsidR="00E53D90" w:rsidRPr="008B46D5" w:rsidRDefault="00E53D90" w:rsidP="008B46D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  <w:color w:val="000000"/>
          <w:lang w:val="ru-RU"/>
        </w:rPr>
      </w:pPr>
      <w:r w:rsidRPr="008B46D5">
        <w:rPr>
          <w:i/>
          <w:iCs/>
          <w:color w:val="000000"/>
          <w:lang w:val="ru-RU"/>
        </w:rPr>
        <w:t>демократия, активная гражданская позиция, эффективное управление и прозрачность;</w:t>
      </w:r>
    </w:p>
    <w:p w14:paraId="036215C4" w14:textId="77777777" w:rsidR="00E53D90" w:rsidRPr="008B46D5" w:rsidRDefault="00E53D90" w:rsidP="008B46D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  <w:color w:val="000000"/>
          <w:lang w:val="ru-RU"/>
        </w:rPr>
      </w:pPr>
      <w:r w:rsidRPr="008B46D5">
        <w:rPr>
          <w:i/>
          <w:iCs/>
          <w:color w:val="000000"/>
          <w:lang w:val="ru-RU"/>
        </w:rPr>
        <w:t>права человека и равное обращение путем борьбы с дискриминацией на основании расового или этнического происхождения, религии или убеждений, пола, инвалидности, возраста, сексуальной ориентации или гендерной идентичности;</w:t>
      </w:r>
    </w:p>
    <w:p w14:paraId="64E9B10E" w14:textId="77777777" w:rsidR="00E53D90" w:rsidRPr="008B46D5" w:rsidRDefault="00E53D90" w:rsidP="008B46D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  <w:color w:val="000000"/>
          <w:lang w:val="ru-RU"/>
        </w:rPr>
      </w:pPr>
      <w:r w:rsidRPr="008B46D5">
        <w:rPr>
          <w:i/>
          <w:iCs/>
          <w:color w:val="000000"/>
          <w:lang w:val="ru-RU"/>
        </w:rPr>
        <w:t>социальная справедливость и вовлечение уязвимых групп населения в общественную жизнь;</w:t>
      </w:r>
    </w:p>
    <w:p w14:paraId="743A5068" w14:textId="77777777" w:rsidR="00E53D90" w:rsidRPr="008B46D5" w:rsidRDefault="00E53D90" w:rsidP="008B46D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  <w:color w:val="000000"/>
          <w:lang w:val="ru-RU"/>
        </w:rPr>
      </w:pPr>
      <w:r w:rsidRPr="008B46D5">
        <w:rPr>
          <w:i/>
          <w:iCs/>
          <w:color w:val="000000"/>
          <w:lang w:val="ru-RU"/>
        </w:rPr>
        <w:t>гендерное равенство и гендерное насилие;</w:t>
      </w:r>
    </w:p>
    <w:p w14:paraId="7C2B9C51" w14:textId="77777777" w:rsidR="00E53D90" w:rsidRPr="008B46D5" w:rsidRDefault="00E53D90" w:rsidP="008B46D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/>
          <w:sz w:val="20"/>
          <w:lang w:val="ru-RU"/>
        </w:rPr>
      </w:pPr>
      <w:r w:rsidRPr="008B46D5">
        <w:rPr>
          <w:i/>
          <w:iCs/>
          <w:color w:val="000000"/>
          <w:lang w:val="ru-RU"/>
        </w:rPr>
        <w:t>окружающая среда и изменение климата.</w:t>
      </w:r>
    </w:p>
    <w:p w14:paraId="20D97C19" w14:textId="0B542982" w:rsidR="00E53D90" w:rsidRPr="008B46D5" w:rsidRDefault="00E53D90" w:rsidP="00E53D90">
      <w:pPr>
        <w:rPr>
          <w:lang w:val="ru-RU"/>
        </w:rPr>
      </w:pPr>
    </w:p>
    <w:p w14:paraId="36C90BC3" w14:textId="00FEFD37" w:rsidR="00E53D90" w:rsidRPr="008B46D5" w:rsidRDefault="00E53D90" w:rsidP="00E53D90">
      <w:pPr>
        <w:rPr>
          <w:lang w:val="ru-RU"/>
        </w:rPr>
      </w:pPr>
      <w:r w:rsidRPr="008B46D5">
        <w:rPr>
          <w:lang w:val="ru-RU"/>
        </w:rPr>
        <w:t>Конкурс открыт для поддержки инициатив, которые способствуют достижению следующих целей и результатов</w:t>
      </w:r>
      <w:r w:rsidRPr="008B46D5">
        <w:rPr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2403"/>
        <w:gridCol w:w="5221"/>
      </w:tblGrid>
      <w:tr w:rsidR="00E53D90" w:rsidRPr="008B46D5" w14:paraId="04B0811C" w14:textId="77777777" w:rsidTr="00E53D90">
        <w:tc>
          <w:tcPr>
            <w:tcW w:w="1726" w:type="dxa"/>
          </w:tcPr>
          <w:p w14:paraId="7C7E64D7" w14:textId="77777777" w:rsidR="00E53D90" w:rsidRPr="008B46D5" w:rsidRDefault="00E53D90" w:rsidP="00E53D90">
            <w:pPr>
              <w:rPr>
                <w:rFonts w:cstheme="minorHAnsi"/>
                <w:lang w:val="ru-RU"/>
              </w:rPr>
            </w:pPr>
          </w:p>
        </w:tc>
        <w:tc>
          <w:tcPr>
            <w:tcW w:w="2403" w:type="dxa"/>
            <w:vAlign w:val="center"/>
          </w:tcPr>
          <w:p w14:paraId="17EF7994" w14:textId="772B6A3B" w:rsidR="00E53D90" w:rsidRPr="008B46D5" w:rsidRDefault="00E53D90" w:rsidP="00E53D90">
            <w:pPr>
              <w:rPr>
                <w:rFonts w:cstheme="minorHAnsi"/>
                <w:lang w:val="ru-RU"/>
              </w:rPr>
            </w:pPr>
            <w:r w:rsidRPr="008B46D5">
              <w:rPr>
                <w:b/>
                <w:bCs/>
                <w:color w:val="000000"/>
                <w:lang w:val="ru-RU"/>
              </w:rPr>
              <w:t>Ожидаемые результаты программы</w:t>
            </w:r>
          </w:p>
        </w:tc>
        <w:tc>
          <w:tcPr>
            <w:tcW w:w="5221" w:type="dxa"/>
            <w:vAlign w:val="center"/>
          </w:tcPr>
          <w:p w14:paraId="5917E4C7" w14:textId="65030C33" w:rsidR="00E53D90" w:rsidRPr="008B46D5" w:rsidRDefault="00E53D90" w:rsidP="00E53D90">
            <w:pPr>
              <w:rPr>
                <w:rFonts w:cstheme="minorHAnsi"/>
                <w:lang w:val="ru-RU"/>
              </w:rPr>
            </w:pPr>
            <w:r w:rsidRPr="008B46D5">
              <w:rPr>
                <w:b/>
                <w:bCs/>
                <w:color w:val="000000"/>
                <w:lang w:val="ru-RU"/>
              </w:rPr>
              <w:t>Показатели</w:t>
            </w:r>
          </w:p>
        </w:tc>
      </w:tr>
      <w:tr w:rsidR="00E53D90" w:rsidRPr="008B46D5" w14:paraId="13659F42" w14:textId="77777777" w:rsidTr="00E53D90">
        <w:trPr>
          <w:trHeight w:val="502"/>
        </w:trPr>
        <w:tc>
          <w:tcPr>
            <w:tcW w:w="1726" w:type="dxa"/>
            <w:vMerge w:val="restart"/>
          </w:tcPr>
          <w:p w14:paraId="0255C859" w14:textId="3061C969" w:rsidR="00E53D90" w:rsidRPr="008B46D5" w:rsidRDefault="00E53D90" w:rsidP="00F76C1E">
            <w:pPr>
              <w:rPr>
                <w:rFonts w:cstheme="minorHAnsi"/>
                <w:lang w:val="ru-RU"/>
              </w:rPr>
            </w:pPr>
            <w:r w:rsidRPr="008B46D5">
              <w:rPr>
                <w:color w:val="000000"/>
                <w:lang w:val="ru-RU"/>
              </w:rPr>
              <w:t>Конечный результат</w:t>
            </w:r>
          </w:p>
        </w:tc>
        <w:tc>
          <w:tcPr>
            <w:tcW w:w="2403" w:type="dxa"/>
            <w:vMerge w:val="restart"/>
          </w:tcPr>
          <w:p w14:paraId="2FF3A226" w14:textId="78E6D679" w:rsidR="00E53D90" w:rsidRPr="008B46D5" w:rsidRDefault="00E53D90" w:rsidP="00F76C1E">
            <w:pPr>
              <w:rPr>
                <w:rFonts w:cstheme="minorHAnsi"/>
                <w:lang w:val="ru-RU"/>
              </w:rPr>
            </w:pP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>Расширение сотрудничества между</w:t>
            </w:r>
            <w:r w:rsidR="008B46D5" w:rsidRPr="008B46D5">
              <w:rPr>
                <w:rFonts w:eastAsia="Times New Roman" w:cstheme="minorHAnsi"/>
                <w:color w:val="000000"/>
                <w:lang w:val="ru-RU" w:eastAsia="en-GB"/>
              </w:rPr>
              <w:t xml:space="preserve"> </w:t>
            </w:r>
            <w:r w:rsidR="008B46D5" w:rsidRPr="008B46D5">
              <w:rPr>
                <w:rFonts w:eastAsia="Times New Roman" w:cstheme="minorHAnsi"/>
                <w:color w:val="000000"/>
                <w:lang w:val="ru-RU" w:eastAsia="en-GB"/>
              </w:rPr>
              <w:t>организациями</w:t>
            </w: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 xml:space="preserve"> стран-бенефициарами и стран-доноров</w:t>
            </w:r>
          </w:p>
        </w:tc>
        <w:tc>
          <w:tcPr>
            <w:tcW w:w="5221" w:type="dxa"/>
          </w:tcPr>
          <w:p w14:paraId="30A05EE7" w14:textId="4ABEC961" w:rsidR="00E53D90" w:rsidRPr="008B46D5" w:rsidRDefault="008B46D5" w:rsidP="00F76C1E">
            <w:pPr>
              <w:rPr>
                <w:rFonts w:cstheme="minorHAnsi"/>
                <w:lang w:val="ru-RU"/>
              </w:rPr>
            </w:pPr>
            <w:r>
              <w:rPr>
                <w:rFonts w:eastAsia="Times New Roman" w:cstheme="minorHAnsi"/>
                <w:color w:val="000000"/>
                <w:lang w:val="ru-RU" w:eastAsia="en-GB"/>
              </w:rPr>
              <w:t>У</w:t>
            </w: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>довлетворенность партнерством</w:t>
            </w:r>
          </w:p>
        </w:tc>
      </w:tr>
      <w:tr w:rsidR="00E53D90" w:rsidRPr="008B46D5" w14:paraId="2693FB76" w14:textId="77777777" w:rsidTr="00E53D90">
        <w:tc>
          <w:tcPr>
            <w:tcW w:w="1726" w:type="dxa"/>
            <w:vMerge/>
          </w:tcPr>
          <w:p w14:paraId="3C9B6A90" w14:textId="77777777" w:rsidR="00E53D90" w:rsidRPr="008B46D5" w:rsidRDefault="00E53D90" w:rsidP="00F76C1E">
            <w:pPr>
              <w:rPr>
                <w:rFonts w:cstheme="minorHAnsi"/>
                <w:lang w:val="ru-RU"/>
              </w:rPr>
            </w:pPr>
          </w:p>
        </w:tc>
        <w:tc>
          <w:tcPr>
            <w:tcW w:w="2403" w:type="dxa"/>
            <w:vMerge/>
          </w:tcPr>
          <w:p w14:paraId="3153EA02" w14:textId="77777777" w:rsidR="00E53D90" w:rsidRPr="008B46D5" w:rsidRDefault="00E53D90" w:rsidP="00F76C1E">
            <w:pPr>
              <w:rPr>
                <w:rFonts w:cstheme="minorHAnsi"/>
                <w:lang w:val="ru-RU"/>
              </w:rPr>
            </w:pPr>
          </w:p>
        </w:tc>
        <w:tc>
          <w:tcPr>
            <w:tcW w:w="5221" w:type="dxa"/>
          </w:tcPr>
          <w:p w14:paraId="7B452471" w14:textId="37AEA2F6" w:rsidR="00E53D90" w:rsidRPr="008B46D5" w:rsidRDefault="008B46D5" w:rsidP="00F76C1E">
            <w:pPr>
              <w:rPr>
                <w:rFonts w:eastAsia="Times New Roman" w:cstheme="minorHAnsi"/>
                <w:color w:val="000000"/>
                <w:lang w:val="ru-RU" w:eastAsia="en-GB"/>
              </w:rPr>
            </w:pP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>Доверие к партнерам</w:t>
            </w:r>
          </w:p>
        </w:tc>
      </w:tr>
      <w:tr w:rsidR="00E53D90" w:rsidRPr="008B46D5" w14:paraId="1F0EEF98" w14:textId="77777777" w:rsidTr="00E53D90">
        <w:tc>
          <w:tcPr>
            <w:tcW w:w="1726" w:type="dxa"/>
            <w:vMerge/>
          </w:tcPr>
          <w:p w14:paraId="1622B3D0" w14:textId="77777777" w:rsidR="00E53D90" w:rsidRPr="008B46D5" w:rsidRDefault="00E53D90" w:rsidP="00F76C1E">
            <w:pPr>
              <w:rPr>
                <w:rFonts w:cstheme="minorHAnsi"/>
                <w:lang w:val="ru-RU"/>
              </w:rPr>
            </w:pPr>
          </w:p>
        </w:tc>
        <w:tc>
          <w:tcPr>
            <w:tcW w:w="2403" w:type="dxa"/>
            <w:vMerge/>
          </w:tcPr>
          <w:p w14:paraId="4C58F326" w14:textId="77777777" w:rsidR="00E53D90" w:rsidRPr="008B46D5" w:rsidRDefault="00E53D90" w:rsidP="00F76C1E">
            <w:pPr>
              <w:rPr>
                <w:rFonts w:cstheme="minorHAnsi"/>
                <w:lang w:val="ru-RU"/>
              </w:rPr>
            </w:pPr>
          </w:p>
        </w:tc>
        <w:tc>
          <w:tcPr>
            <w:tcW w:w="5221" w:type="dxa"/>
          </w:tcPr>
          <w:p w14:paraId="0B74E8AD" w14:textId="3F735BB9" w:rsidR="00E53D90" w:rsidRPr="008B46D5" w:rsidRDefault="008B46D5" w:rsidP="00F76C1E">
            <w:pPr>
              <w:rPr>
                <w:rFonts w:cstheme="minorHAnsi"/>
                <w:lang w:val="ru-RU"/>
              </w:rPr>
            </w:pP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 xml:space="preserve">Количество организаций, </w:t>
            </w:r>
            <w:r>
              <w:rPr>
                <w:rFonts w:eastAsia="Times New Roman" w:cstheme="minorHAnsi"/>
                <w:color w:val="000000"/>
                <w:lang w:val="ru-RU" w:eastAsia="en-GB"/>
              </w:rPr>
              <w:t xml:space="preserve">которые </w:t>
            </w: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>применя</w:t>
            </w:r>
            <w:r>
              <w:rPr>
                <w:rFonts w:eastAsia="Times New Roman" w:cstheme="minorHAnsi"/>
                <w:color w:val="000000"/>
                <w:lang w:val="ru-RU" w:eastAsia="en-GB"/>
              </w:rPr>
              <w:t>ют</w:t>
            </w: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 xml:space="preserve"> знания, полученные в рамках двустороннего партнерства</w:t>
            </w:r>
          </w:p>
        </w:tc>
      </w:tr>
      <w:tr w:rsidR="00E53D90" w:rsidRPr="008B46D5" w14:paraId="79CAFA53" w14:textId="77777777" w:rsidTr="00E53D90">
        <w:tc>
          <w:tcPr>
            <w:tcW w:w="1726" w:type="dxa"/>
            <w:vMerge/>
          </w:tcPr>
          <w:p w14:paraId="1B0A5D48" w14:textId="77777777" w:rsidR="00E53D90" w:rsidRPr="008B46D5" w:rsidRDefault="00E53D90" w:rsidP="00F76C1E">
            <w:pPr>
              <w:rPr>
                <w:rFonts w:cstheme="minorHAnsi"/>
                <w:lang w:val="ru-RU"/>
              </w:rPr>
            </w:pPr>
          </w:p>
        </w:tc>
        <w:tc>
          <w:tcPr>
            <w:tcW w:w="2403" w:type="dxa"/>
            <w:vMerge/>
          </w:tcPr>
          <w:p w14:paraId="77A95C6F" w14:textId="77777777" w:rsidR="00E53D90" w:rsidRPr="008B46D5" w:rsidRDefault="00E53D90" w:rsidP="00F76C1E">
            <w:pPr>
              <w:rPr>
                <w:rFonts w:cstheme="minorHAnsi"/>
                <w:lang w:val="ru-RU"/>
              </w:rPr>
            </w:pPr>
          </w:p>
        </w:tc>
        <w:tc>
          <w:tcPr>
            <w:tcW w:w="5221" w:type="dxa"/>
          </w:tcPr>
          <w:p w14:paraId="374C00E4" w14:textId="3D579C3D" w:rsidR="00E53D90" w:rsidRPr="008B46D5" w:rsidRDefault="008B46D5" w:rsidP="00F76C1E">
            <w:pPr>
              <w:rPr>
                <w:rFonts w:cstheme="minorHAnsi"/>
                <w:lang w:val="ru-RU"/>
              </w:rPr>
            </w:pP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>Количество организаций, чьи знания / методы / подходы улучшились в результате двустороннего партнерства</w:t>
            </w:r>
          </w:p>
        </w:tc>
      </w:tr>
      <w:tr w:rsidR="00E53D90" w:rsidRPr="008B46D5" w14:paraId="1E22B241" w14:textId="77777777" w:rsidTr="00E53D90">
        <w:tc>
          <w:tcPr>
            <w:tcW w:w="1726" w:type="dxa"/>
          </w:tcPr>
          <w:p w14:paraId="7AF237A3" w14:textId="3ED64CF0" w:rsidR="00E53D90" w:rsidRPr="008B46D5" w:rsidRDefault="00E53D90" w:rsidP="00F76C1E">
            <w:pPr>
              <w:rPr>
                <w:rFonts w:cstheme="minorHAnsi"/>
                <w:lang w:val="ru-RU"/>
              </w:rPr>
            </w:pPr>
            <w:r w:rsidRPr="008B46D5">
              <w:rPr>
                <w:color w:val="000000"/>
                <w:lang w:val="ru-RU"/>
              </w:rPr>
              <w:t>Промежуточная цель 1</w:t>
            </w:r>
          </w:p>
        </w:tc>
        <w:tc>
          <w:tcPr>
            <w:tcW w:w="2403" w:type="dxa"/>
          </w:tcPr>
          <w:p w14:paraId="394D613A" w14:textId="2339701C" w:rsidR="00E53D90" w:rsidRPr="008B46D5" w:rsidRDefault="008B46D5" w:rsidP="00F76C1E">
            <w:pPr>
              <w:rPr>
                <w:rFonts w:eastAsia="Times New Roman" w:cstheme="minorHAnsi"/>
                <w:color w:val="000000"/>
                <w:lang w:val="ru-RU" w:eastAsia="en-GB"/>
              </w:rPr>
            </w:pP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>Поддержка сотрудничества между</w:t>
            </w:r>
            <w:r>
              <w:rPr>
                <w:rFonts w:eastAsia="Times New Roman" w:cstheme="minorHAnsi"/>
                <w:color w:val="000000"/>
                <w:lang w:val="ru-RU" w:eastAsia="en-GB"/>
              </w:rPr>
              <w:t xml:space="preserve"> </w:t>
            </w: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>организациями стран-бенефициар</w:t>
            </w:r>
            <w:r>
              <w:rPr>
                <w:rFonts w:eastAsia="Times New Roman" w:cstheme="minorHAnsi"/>
                <w:color w:val="000000"/>
                <w:lang w:val="ru-RU" w:eastAsia="en-GB"/>
              </w:rPr>
              <w:t>ов</w:t>
            </w: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 xml:space="preserve"> и стран-доноров</w:t>
            </w:r>
          </w:p>
        </w:tc>
        <w:tc>
          <w:tcPr>
            <w:tcW w:w="5221" w:type="dxa"/>
          </w:tcPr>
          <w:p w14:paraId="6897AF08" w14:textId="6D2E9744" w:rsidR="00E53D90" w:rsidRPr="008B46D5" w:rsidRDefault="008B46D5" w:rsidP="00F76C1E">
            <w:pPr>
              <w:rPr>
                <w:rFonts w:eastAsia="Times New Roman" w:cstheme="minorHAnsi"/>
                <w:color w:val="000000"/>
                <w:lang w:val="ru-RU" w:eastAsia="en-GB"/>
              </w:rPr>
            </w:pP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>Количество проектов с участием партнера из страны-донора</w:t>
            </w:r>
          </w:p>
        </w:tc>
      </w:tr>
      <w:tr w:rsidR="00E53D90" w:rsidRPr="008B46D5" w14:paraId="4D6E5EC6" w14:textId="77777777" w:rsidTr="00E53D90">
        <w:tc>
          <w:tcPr>
            <w:tcW w:w="1726" w:type="dxa"/>
            <w:vMerge w:val="restart"/>
          </w:tcPr>
          <w:p w14:paraId="341D341E" w14:textId="1AA7A7F6" w:rsidR="00E53D90" w:rsidRPr="008B46D5" w:rsidRDefault="00E53D90" w:rsidP="00F76C1E">
            <w:pPr>
              <w:rPr>
                <w:rFonts w:cstheme="minorHAnsi"/>
                <w:lang w:val="ru-RU"/>
              </w:rPr>
            </w:pPr>
            <w:r w:rsidRPr="008B46D5">
              <w:rPr>
                <w:color w:val="000000"/>
                <w:lang w:val="ru-RU"/>
              </w:rPr>
              <w:t>Промежуточная цель 2</w:t>
            </w:r>
          </w:p>
        </w:tc>
        <w:tc>
          <w:tcPr>
            <w:tcW w:w="2403" w:type="dxa"/>
            <w:vMerge w:val="restart"/>
          </w:tcPr>
          <w:p w14:paraId="5F6527D5" w14:textId="5B5743F8" w:rsidR="00E53D90" w:rsidRPr="008B46D5" w:rsidRDefault="008B46D5" w:rsidP="00F76C1E">
            <w:pPr>
              <w:rPr>
                <w:rFonts w:cstheme="minorHAnsi"/>
                <w:lang w:val="ru-RU"/>
              </w:rPr>
            </w:pP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 xml:space="preserve">Развитие сотрудничества при поддержке Фонда </w:t>
            </w:r>
            <w:r>
              <w:rPr>
                <w:rFonts w:eastAsia="Times New Roman" w:cstheme="minorHAnsi"/>
                <w:color w:val="000000"/>
                <w:lang w:val="ru-RU" w:eastAsia="en-GB"/>
              </w:rPr>
              <w:t>А</w:t>
            </w: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 xml:space="preserve">ктивных </w:t>
            </w:r>
            <w:r>
              <w:rPr>
                <w:rFonts w:eastAsia="Times New Roman" w:cstheme="minorHAnsi"/>
                <w:color w:val="000000"/>
                <w:lang w:val="ru-RU" w:eastAsia="en-GB"/>
              </w:rPr>
              <w:t>Г</w:t>
            </w: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>раждан</w:t>
            </w:r>
          </w:p>
        </w:tc>
        <w:tc>
          <w:tcPr>
            <w:tcW w:w="5221" w:type="dxa"/>
          </w:tcPr>
          <w:p w14:paraId="46B5F46A" w14:textId="7C09429F" w:rsidR="00E53D90" w:rsidRPr="008B46D5" w:rsidRDefault="008B46D5" w:rsidP="00F76C1E">
            <w:pPr>
              <w:rPr>
                <w:rFonts w:cstheme="minorHAnsi"/>
                <w:lang w:val="ru-RU"/>
              </w:rPr>
            </w:pP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>Количество двусторонних инициатив, поддержанных Фонд</w:t>
            </w:r>
            <w:r>
              <w:rPr>
                <w:rFonts w:eastAsia="Times New Roman" w:cstheme="minorHAnsi"/>
                <w:color w:val="000000"/>
                <w:lang w:val="ru-RU" w:eastAsia="en-GB"/>
              </w:rPr>
              <w:t>ом</w:t>
            </w: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ru-RU" w:eastAsia="en-GB"/>
              </w:rPr>
              <w:t>А</w:t>
            </w: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 xml:space="preserve">ктивных </w:t>
            </w:r>
            <w:r>
              <w:rPr>
                <w:rFonts w:eastAsia="Times New Roman" w:cstheme="minorHAnsi"/>
                <w:color w:val="000000"/>
                <w:lang w:val="ru-RU" w:eastAsia="en-GB"/>
              </w:rPr>
              <w:t>Г</w:t>
            </w: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>раждан</w:t>
            </w:r>
          </w:p>
        </w:tc>
      </w:tr>
      <w:tr w:rsidR="00E53D90" w:rsidRPr="008B46D5" w14:paraId="44A31B9C" w14:textId="77777777" w:rsidTr="00E53D90">
        <w:tc>
          <w:tcPr>
            <w:tcW w:w="1726" w:type="dxa"/>
            <w:vMerge/>
          </w:tcPr>
          <w:p w14:paraId="1E36AAB9" w14:textId="77777777" w:rsidR="00E53D90" w:rsidRPr="008B46D5" w:rsidRDefault="00E53D90" w:rsidP="00F76C1E">
            <w:pPr>
              <w:rPr>
                <w:rFonts w:cstheme="minorHAnsi"/>
                <w:lang w:val="ru-RU"/>
              </w:rPr>
            </w:pPr>
          </w:p>
        </w:tc>
        <w:tc>
          <w:tcPr>
            <w:tcW w:w="2403" w:type="dxa"/>
            <w:vMerge/>
          </w:tcPr>
          <w:p w14:paraId="3240380D" w14:textId="77777777" w:rsidR="00E53D90" w:rsidRPr="008B46D5" w:rsidRDefault="00E53D90" w:rsidP="00F76C1E">
            <w:pPr>
              <w:rPr>
                <w:rFonts w:cstheme="minorHAnsi"/>
                <w:lang w:val="ru-RU"/>
              </w:rPr>
            </w:pPr>
          </w:p>
        </w:tc>
        <w:tc>
          <w:tcPr>
            <w:tcW w:w="5221" w:type="dxa"/>
          </w:tcPr>
          <w:p w14:paraId="64B31114" w14:textId="14F5C3B0" w:rsidR="00E53D90" w:rsidRPr="008B46D5" w:rsidRDefault="008B46D5" w:rsidP="008B46D5">
            <w:pPr>
              <w:rPr>
                <w:rFonts w:cstheme="minorHAnsi"/>
                <w:lang w:val="ru-RU"/>
              </w:rPr>
            </w:pP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 xml:space="preserve">Количество лиц, участвующих в двусторонних инициативах, поддерживаемых Фондом </w:t>
            </w:r>
            <w:r>
              <w:rPr>
                <w:rFonts w:eastAsia="Times New Roman" w:cstheme="minorHAnsi"/>
                <w:color w:val="000000"/>
                <w:lang w:val="ru-RU" w:eastAsia="en-GB"/>
              </w:rPr>
              <w:t>А</w:t>
            </w: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 xml:space="preserve">ктивных </w:t>
            </w:r>
            <w:r>
              <w:rPr>
                <w:rFonts w:eastAsia="Times New Roman" w:cstheme="minorHAnsi"/>
                <w:color w:val="000000"/>
                <w:lang w:val="ru-RU" w:eastAsia="en-GB"/>
              </w:rPr>
              <w:t>Г</w:t>
            </w:r>
            <w:r w:rsidRPr="008B46D5">
              <w:rPr>
                <w:rFonts w:eastAsia="Times New Roman" w:cstheme="minorHAnsi"/>
                <w:color w:val="000000"/>
                <w:lang w:val="ru-RU" w:eastAsia="en-GB"/>
              </w:rPr>
              <w:t>раждан</w:t>
            </w:r>
          </w:p>
        </w:tc>
      </w:tr>
    </w:tbl>
    <w:p w14:paraId="67713154" w14:textId="1BA792CA" w:rsidR="00E53D90" w:rsidRDefault="00E53D90" w:rsidP="00E53D90">
      <w:pPr>
        <w:rPr>
          <w:lang w:val="ru-RU"/>
        </w:rPr>
      </w:pPr>
    </w:p>
    <w:p w14:paraId="452795BC" w14:textId="47736DC0" w:rsidR="008B46D5" w:rsidRPr="008B46D5" w:rsidRDefault="008B46D5" w:rsidP="008B46D5">
      <w:pPr>
        <w:rPr>
          <w:lang w:val="ru-RU"/>
        </w:rPr>
      </w:pPr>
      <w:r w:rsidRPr="008B46D5">
        <w:rPr>
          <w:lang w:val="ru-RU"/>
        </w:rPr>
        <w:t xml:space="preserve">Целью двусторонних инициатив является обеспечение краткосрочного международного обмена опытом между Эстонией и странами-донорами Норвегией, Исландией и Лихтенштейном. Это гибкий вариант финансирования, и спектр финансируемых </w:t>
      </w:r>
      <w:r>
        <w:rPr>
          <w:lang w:val="ru-RU"/>
        </w:rPr>
        <w:t>действий</w:t>
      </w:r>
      <w:r w:rsidRPr="008B46D5">
        <w:rPr>
          <w:lang w:val="ru-RU"/>
        </w:rPr>
        <w:t xml:space="preserve"> широк. </w:t>
      </w:r>
      <w:r>
        <w:rPr>
          <w:lang w:val="ru-RU"/>
        </w:rPr>
        <w:t>Например</w:t>
      </w:r>
      <w:r w:rsidRPr="008B46D5">
        <w:rPr>
          <w:lang w:val="ru-RU"/>
        </w:rPr>
        <w:t>, можно подать заявку на поддержку по следующим направлениям деятельности:</w:t>
      </w:r>
    </w:p>
    <w:p w14:paraId="41BB46D3" w14:textId="7871ED76" w:rsidR="008B46D5" w:rsidRPr="008B46D5" w:rsidRDefault="008B46D5" w:rsidP="008B46D5">
      <w:pPr>
        <w:pStyle w:val="ListParagraph"/>
        <w:numPr>
          <w:ilvl w:val="0"/>
          <w:numId w:val="3"/>
        </w:numPr>
        <w:rPr>
          <w:lang w:val="ru-RU"/>
        </w:rPr>
      </w:pPr>
      <w:r w:rsidRPr="008B46D5">
        <w:rPr>
          <w:lang w:val="ru-RU"/>
        </w:rPr>
        <w:t>поиск партнеров, планирование проектов сотрудничества, подготовка проектных заявок;</w:t>
      </w:r>
    </w:p>
    <w:p w14:paraId="4898E2F8" w14:textId="01FA5F1E" w:rsidR="008B46D5" w:rsidRPr="008B46D5" w:rsidRDefault="008B46D5" w:rsidP="008B46D5">
      <w:pPr>
        <w:pStyle w:val="ListParagraph"/>
        <w:numPr>
          <w:ilvl w:val="0"/>
          <w:numId w:val="3"/>
        </w:numPr>
        <w:rPr>
          <w:lang w:val="ru-RU"/>
        </w:rPr>
      </w:pPr>
      <w:r w:rsidRPr="008B46D5">
        <w:rPr>
          <w:lang w:val="ru-RU"/>
        </w:rPr>
        <w:t>обмен опытом и сотрудничество, обмен лучшими практиками между организациями Эстонии и стран-доноров;</w:t>
      </w:r>
    </w:p>
    <w:p w14:paraId="2C482786" w14:textId="44139A56" w:rsidR="008B46D5" w:rsidRPr="008B46D5" w:rsidRDefault="008B46D5" w:rsidP="008B46D5">
      <w:pPr>
        <w:pStyle w:val="ListParagraph"/>
        <w:numPr>
          <w:ilvl w:val="0"/>
          <w:numId w:val="3"/>
        </w:numPr>
        <w:rPr>
          <w:lang w:val="ru-RU"/>
        </w:rPr>
      </w:pPr>
      <w:r w:rsidRPr="008B46D5">
        <w:rPr>
          <w:lang w:val="ru-RU"/>
        </w:rPr>
        <w:t>краткосрочные стажировки в донорских организациях;</w:t>
      </w:r>
    </w:p>
    <w:p w14:paraId="67211AF1" w14:textId="1509A746" w:rsidR="008B46D5" w:rsidRPr="008B46D5" w:rsidRDefault="008B46D5" w:rsidP="008B46D5">
      <w:pPr>
        <w:pStyle w:val="ListParagraph"/>
        <w:numPr>
          <w:ilvl w:val="0"/>
          <w:numId w:val="3"/>
        </w:numPr>
        <w:rPr>
          <w:lang w:val="ru-RU"/>
        </w:rPr>
      </w:pPr>
      <w:r w:rsidRPr="008B46D5">
        <w:rPr>
          <w:lang w:val="ru-RU"/>
        </w:rPr>
        <w:t>обучение или другие мероприятия по наращиванию потенциала, в том числе онлайн;</w:t>
      </w:r>
    </w:p>
    <w:p w14:paraId="7C137287" w14:textId="21E5E198" w:rsidR="008B46D5" w:rsidRPr="008B46D5" w:rsidRDefault="008B46D5" w:rsidP="008B46D5">
      <w:pPr>
        <w:pStyle w:val="ListParagraph"/>
        <w:numPr>
          <w:ilvl w:val="0"/>
          <w:numId w:val="3"/>
        </w:numPr>
        <w:rPr>
          <w:lang w:val="ru-RU"/>
        </w:rPr>
      </w:pPr>
      <w:r w:rsidRPr="008B46D5">
        <w:rPr>
          <w:lang w:val="ru-RU"/>
        </w:rPr>
        <w:t>составление или перевод информационных материалов;</w:t>
      </w:r>
    </w:p>
    <w:p w14:paraId="111DA33A" w14:textId="6FE0EC67" w:rsidR="008B46D5" w:rsidRPr="008B46D5" w:rsidRDefault="008B46D5" w:rsidP="008B46D5">
      <w:pPr>
        <w:pStyle w:val="ListParagraph"/>
        <w:numPr>
          <w:ilvl w:val="0"/>
          <w:numId w:val="3"/>
        </w:numPr>
        <w:rPr>
          <w:lang w:val="ru-RU"/>
        </w:rPr>
      </w:pPr>
      <w:r w:rsidRPr="008B46D5">
        <w:rPr>
          <w:lang w:val="ru-RU"/>
        </w:rPr>
        <w:t>совместные учебные поездки с участием организаций из Эстонии и стран-доноров;</w:t>
      </w:r>
    </w:p>
    <w:p w14:paraId="06B7137F" w14:textId="25CD65CA" w:rsidR="008B46D5" w:rsidRDefault="008B46D5" w:rsidP="008B46D5">
      <w:pPr>
        <w:pStyle w:val="ListParagraph"/>
        <w:numPr>
          <w:ilvl w:val="0"/>
          <w:numId w:val="3"/>
        </w:numPr>
        <w:rPr>
          <w:lang w:val="ru-RU"/>
        </w:rPr>
      </w:pPr>
      <w:r w:rsidRPr="008B46D5">
        <w:rPr>
          <w:lang w:val="ru-RU"/>
        </w:rPr>
        <w:t xml:space="preserve">другие виды деятельности, </w:t>
      </w:r>
      <w:r w:rsidRPr="008B46D5">
        <w:rPr>
          <w:lang w:val="ru-RU"/>
        </w:rPr>
        <w:t>например</w:t>
      </w:r>
      <w:r w:rsidRPr="008B46D5">
        <w:rPr>
          <w:lang w:val="ru-RU"/>
        </w:rPr>
        <w:t xml:space="preserve"> стажировки представителей донорских организаций в Эстонии или визиты эстонских экспертов в страны-доноры.</w:t>
      </w:r>
    </w:p>
    <w:p w14:paraId="50300791" w14:textId="18BB99B8" w:rsidR="008B46D5" w:rsidRPr="008B46D5" w:rsidRDefault="008B46D5" w:rsidP="008B46D5">
      <w:pPr>
        <w:rPr>
          <w:lang w:val="ru-RU"/>
        </w:rPr>
      </w:pPr>
      <w:r w:rsidRPr="008B46D5">
        <w:rPr>
          <w:lang w:val="ru-RU"/>
        </w:rPr>
        <w:t>Мероприятия могут проводиться в Эстонии или в странах-донорах. В зависимости от ограничений на поездки из-за пандемии Covid-19 мероприятия также могут проводиться онлайн.</w:t>
      </w:r>
    </w:p>
    <w:p w14:paraId="3F68BB85" w14:textId="4E516616" w:rsidR="008B46D5" w:rsidRPr="008B46D5" w:rsidRDefault="008B46D5" w:rsidP="008B46D5">
      <w:pPr>
        <w:rPr>
          <w:lang w:val="ru-RU"/>
        </w:rPr>
      </w:pPr>
      <w:r w:rsidRPr="008B46D5">
        <w:rPr>
          <w:lang w:val="ru-RU"/>
        </w:rPr>
        <w:t xml:space="preserve">Сумма поддержки составляет до </w:t>
      </w:r>
      <w:r w:rsidRPr="008B46D5">
        <w:rPr>
          <w:b/>
          <w:bCs/>
          <w:lang w:val="ru-RU"/>
        </w:rPr>
        <w:t>2500 евро</w:t>
      </w:r>
      <w:r w:rsidRPr="008B46D5">
        <w:rPr>
          <w:lang w:val="ru-RU"/>
        </w:rPr>
        <w:t xml:space="preserve"> на инициативу. Размер гранта составляет 100% от приемлемых затрат. Бюджет </w:t>
      </w:r>
      <w:r>
        <w:rPr>
          <w:lang w:val="ru-RU"/>
        </w:rPr>
        <w:t>конкурса</w:t>
      </w:r>
      <w:r w:rsidRPr="008B46D5">
        <w:rPr>
          <w:lang w:val="ru-RU"/>
        </w:rPr>
        <w:t xml:space="preserve"> составляет 20 000 евро, который при</w:t>
      </w:r>
      <w:r>
        <w:rPr>
          <w:lang w:val="ru-RU"/>
        </w:rPr>
        <w:t xml:space="preserve"> проявлении интереса </w:t>
      </w:r>
      <w:r w:rsidRPr="008B46D5">
        <w:rPr>
          <w:lang w:val="ru-RU"/>
        </w:rPr>
        <w:t>может быть увеличен.</w:t>
      </w:r>
    </w:p>
    <w:p w14:paraId="71042D15" w14:textId="42E5CFC0" w:rsidR="008B46D5" w:rsidRPr="008B46D5" w:rsidRDefault="008B46D5" w:rsidP="008B46D5">
      <w:pPr>
        <w:rPr>
          <w:lang w:val="ru-RU"/>
        </w:rPr>
      </w:pPr>
      <w:r w:rsidRPr="008B46D5">
        <w:rPr>
          <w:lang w:val="ru-RU"/>
        </w:rPr>
        <w:t>За</w:t>
      </w:r>
      <w:r>
        <w:rPr>
          <w:lang w:val="ru-RU"/>
        </w:rPr>
        <w:t xml:space="preserve">явку на </w:t>
      </w:r>
      <w:r w:rsidRPr="008B46D5">
        <w:rPr>
          <w:lang w:val="ru-RU"/>
        </w:rPr>
        <w:t>грант можно подать на покрытие следующих расходов:</w:t>
      </w:r>
    </w:p>
    <w:p w14:paraId="484283ED" w14:textId="4ED1C791" w:rsidR="008B46D5" w:rsidRPr="008B46D5" w:rsidRDefault="008B46D5" w:rsidP="008B46D5">
      <w:pPr>
        <w:pStyle w:val="ListParagraph"/>
        <w:numPr>
          <w:ilvl w:val="0"/>
          <w:numId w:val="5"/>
        </w:numPr>
        <w:rPr>
          <w:lang w:val="ru-RU"/>
        </w:rPr>
      </w:pPr>
      <w:r w:rsidRPr="008B46D5">
        <w:rPr>
          <w:lang w:val="ru-RU"/>
        </w:rPr>
        <w:t>гонорары эксперт</w:t>
      </w:r>
      <w:r w:rsidRPr="008B46D5">
        <w:rPr>
          <w:lang w:val="ru-RU"/>
        </w:rPr>
        <w:t>ов</w:t>
      </w:r>
      <w:r w:rsidRPr="008B46D5">
        <w:rPr>
          <w:lang w:val="ru-RU"/>
        </w:rPr>
        <w:t>, включая расходы на проезд и проживание эксперта;</w:t>
      </w:r>
    </w:p>
    <w:p w14:paraId="3ACBFA55" w14:textId="6CD02CEA" w:rsidR="008B46D5" w:rsidRPr="008B46D5" w:rsidRDefault="008B46D5" w:rsidP="008B46D5">
      <w:pPr>
        <w:pStyle w:val="ListParagraph"/>
        <w:numPr>
          <w:ilvl w:val="0"/>
          <w:numId w:val="5"/>
        </w:numPr>
        <w:rPr>
          <w:lang w:val="ru-RU"/>
        </w:rPr>
      </w:pPr>
      <w:r w:rsidRPr="008B46D5">
        <w:rPr>
          <w:lang w:val="ru-RU"/>
        </w:rPr>
        <w:t>взносы за участие в конференциях, семинарах, курсах и других мероприятиях;</w:t>
      </w:r>
    </w:p>
    <w:p w14:paraId="3E4F638C" w14:textId="0F0304C5" w:rsidR="008B46D5" w:rsidRPr="008B46D5" w:rsidRDefault="008B46D5" w:rsidP="008B46D5">
      <w:pPr>
        <w:pStyle w:val="ListParagraph"/>
        <w:numPr>
          <w:ilvl w:val="0"/>
          <w:numId w:val="5"/>
        </w:numPr>
        <w:rPr>
          <w:lang w:val="ru-RU"/>
        </w:rPr>
      </w:pPr>
      <w:r w:rsidRPr="008B46D5">
        <w:rPr>
          <w:lang w:val="ru-RU"/>
        </w:rPr>
        <w:t>дорожные расходы (транспорт, проживание, суточные);</w:t>
      </w:r>
    </w:p>
    <w:p w14:paraId="06AAD571" w14:textId="3BB4C19C" w:rsidR="008B46D5" w:rsidRPr="008B46D5" w:rsidRDefault="008B46D5" w:rsidP="008B46D5">
      <w:pPr>
        <w:pStyle w:val="ListParagraph"/>
        <w:numPr>
          <w:ilvl w:val="0"/>
          <w:numId w:val="5"/>
        </w:numPr>
        <w:rPr>
          <w:lang w:val="ru-RU"/>
        </w:rPr>
      </w:pPr>
      <w:r w:rsidRPr="008B46D5">
        <w:rPr>
          <w:lang w:val="ru-RU"/>
        </w:rPr>
        <w:t>затраты на проведение исследований, включая сбор данных;</w:t>
      </w:r>
    </w:p>
    <w:p w14:paraId="62CB12E3" w14:textId="2AA74142" w:rsidR="008B46D5" w:rsidRPr="008B46D5" w:rsidRDefault="008B46D5" w:rsidP="008B46D5">
      <w:pPr>
        <w:pStyle w:val="ListParagraph"/>
        <w:numPr>
          <w:ilvl w:val="0"/>
          <w:numId w:val="5"/>
        </w:numPr>
        <w:rPr>
          <w:lang w:val="ru-RU"/>
        </w:rPr>
      </w:pPr>
      <w:r w:rsidRPr="008B46D5">
        <w:rPr>
          <w:lang w:val="ru-RU"/>
        </w:rPr>
        <w:t>информация и коммуникация;</w:t>
      </w:r>
    </w:p>
    <w:p w14:paraId="3764EC56" w14:textId="022B04D3" w:rsidR="00740248" w:rsidRDefault="008B46D5" w:rsidP="00740248">
      <w:pPr>
        <w:pStyle w:val="ListParagraph"/>
        <w:numPr>
          <w:ilvl w:val="0"/>
          <w:numId w:val="5"/>
        </w:numPr>
        <w:rPr>
          <w:lang w:val="ru-RU"/>
        </w:rPr>
      </w:pPr>
      <w:r w:rsidRPr="008B46D5">
        <w:rPr>
          <w:lang w:val="ru-RU"/>
        </w:rPr>
        <w:t>другие разумные затраты, необходимые для осуществления совместной деятельности</w:t>
      </w:r>
      <w:r>
        <w:rPr>
          <w:rStyle w:val="FootnoteReference"/>
          <w:lang w:val="ru-RU"/>
        </w:rPr>
        <w:footnoteReference w:id="2"/>
      </w:r>
      <w:r w:rsidRPr="008B46D5">
        <w:rPr>
          <w:lang w:val="ru-RU"/>
        </w:rPr>
        <w:t>.</w:t>
      </w:r>
    </w:p>
    <w:p w14:paraId="16269AD7" w14:textId="77777777" w:rsidR="00740248" w:rsidRPr="00740248" w:rsidRDefault="00740248" w:rsidP="00740248">
      <w:pPr>
        <w:rPr>
          <w:lang w:val="ru-RU"/>
        </w:rPr>
      </w:pPr>
      <w:r w:rsidRPr="00740248">
        <w:rPr>
          <w:lang w:val="ru-RU"/>
        </w:rPr>
        <w:lastRenderedPageBreak/>
        <w:t>Заявки принимаются на постоянной основе, а решения о присуждении грантов принимаются в течение 2 недель.</w:t>
      </w:r>
    </w:p>
    <w:p w14:paraId="620EF52F" w14:textId="6E261270" w:rsidR="00740248" w:rsidRPr="00740248" w:rsidRDefault="00740248" w:rsidP="00740248">
      <w:pPr>
        <w:rPr>
          <w:lang w:val="ru-RU"/>
        </w:rPr>
      </w:pPr>
      <w:r w:rsidRPr="00740248">
        <w:rPr>
          <w:lang w:val="ru-RU"/>
        </w:rPr>
        <w:t xml:space="preserve">Форму заявки можно найти здесь. </w:t>
      </w:r>
      <w:r w:rsidR="005411CE">
        <w:rPr>
          <w:lang w:val="ru-RU"/>
        </w:rPr>
        <w:t xml:space="preserve">Заявка должна быть подана на эстонском языке. </w:t>
      </w:r>
      <w:r w:rsidRPr="00740248">
        <w:rPr>
          <w:lang w:val="ru-RU"/>
        </w:rPr>
        <w:t xml:space="preserve">Заявку вместе с резюме ключевых людей проекта и подтверждение партнерской организации в свободной форме о том, что они готовы участвовать в двусторонней инициативе, необходимо отправить в электронном виде по электронной почте на адрес </w:t>
      </w:r>
      <w:hyperlink r:id="rId9" w:history="1">
        <w:r w:rsidRPr="0075648B">
          <w:rPr>
            <w:rStyle w:val="Hyperlink"/>
            <w:lang w:val="ru-RU"/>
          </w:rPr>
          <w:t>acf@oef.org.ee</w:t>
        </w:r>
      </w:hyperlink>
      <w:r w:rsidRPr="00740248">
        <w:rPr>
          <w:lang w:val="ru-RU"/>
        </w:rPr>
        <w:t>. Все документы должны быть в одном цифровом контейнере, подписанном лицом, уполномоченным подписывать.</w:t>
      </w:r>
    </w:p>
    <w:p w14:paraId="72E0E60F" w14:textId="77777777" w:rsidR="00740248" w:rsidRPr="00740248" w:rsidRDefault="00740248" w:rsidP="00740248">
      <w:pPr>
        <w:rPr>
          <w:lang w:val="ru-RU"/>
        </w:rPr>
      </w:pPr>
    </w:p>
    <w:p w14:paraId="38E6D36C" w14:textId="77777777" w:rsidR="00740248" w:rsidRPr="00740248" w:rsidRDefault="00740248" w:rsidP="00740248">
      <w:pPr>
        <w:rPr>
          <w:lang w:val="ru-RU"/>
        </w:rPr>
      </w:pPr>
      <w:r w:rsidRPr="00740248">
        <w:rPr>
          <w:lang w:val="ru-RU"/>
        </w:rPr>
        <w:t>Дополнительная информация:</w:t>
      </w:r>
    </w:p>
    <w:p w14:paraId="0A49A763" w14:textId="77777777" w:rsidR="00740248" w:rsidRPr="00740248" w:rsidRDefault="00740248" w:rsidP="00740248">
      <w:pPr>
        <w:rPr>
          <w:lang w:val="ru-RU"/>
        </w:rPr>
      </w:pPr>
      <w:r w:rsidRPr="00740248">
        <w:rPr>
          <w:lang w:val="ru-RU"/>
        </w:rPr>
        <w:t xml:space="preserve">Катрин </w:t>
      </w:r>
      <w:proofErr w:type="spellStart"/>
      <w:r w:rsidRPr="00740248">
        <w:rPr>
          <w:lang w:val="ru-RU"/>
        </w:rPr>
        <w:t>Энно</w:t>
      </w:r>
      <w:proofErr w:type="spellEnd"/>
    </w:p>
    <w:p w14:paraId="46A72993" w14:textId="77777777" w:rsidR="00740248" w:rsidRPr="00740248" w:rsidRDefault="00740248" w:rsidP="00740248">
      <w:pPr>
        <w:rPr>
          <w:lang w:val="ru-RU"/>
        </w:rPr>
      </w:pPr>
      <w:r w:rsidRPr="00740248">
        <w:rPr>
          <w:lang w:val="ru-RU"/>
        </w:rPr>
        <w:t>Фонд "Открытая Эстония"</w:t>
      </w:r>
    </w:p>
    <w:p w14:paraId="15F2D77A" w14:textId="77777777" w:rsidR="00740248" w:rsidRPr="00740248" w:rsidRDefault="00740248" w:rsidP="00740248">
      <w:pPr>
        <w:rPr>
          <w:lang w:val="ru-RU"/>
        </w:rPr>
      </w:pPr>
      <w:r w:rsidRPr="00740248">
        <w:rPr>
          <w:lang w:val="ru-RU"/>
        </w:rPr>
        <w:t>Тел. + 372 502 5301</w:t>
      </w:r>
    </w:p>
    <w:p w14:paraId="4764C168" w14:textId="7C34CDDE" w:rsidR="00740248" w:rsidRDefault="00740248" w:rsidP="00740248">
      <w:pPr>
        <w:rPr>
          <w:lang w:val="ru-RU"/>
        </w:rPr>
      </w:pPr>
      <w:hyperlink r:id="rId10" w:history="1">
        <w:r w:rsidRPr="0075648B">
          <w:rPr>
            <w:rStyle w:val="Hyperlink"/>
            <w:lang w:val="ru-RU"/>
          </w:rPr>
          <w:t>katrin@oef.org.ee</w:t>
        </w:r>
      </w:hyperlink>
      <w:r>
        <w:rPr>
          <w:lang w:val="ru-RU"/>
        </w:rPr>
        <w:t xml:space="preserve"> </w:t>
      </w:r>
    </w:p>
    <w:p w14:paraId="0F12AEB2" w14:textId="130A4F4C" w:rsidR="00740248" w:rsidRPr="00740248" w:rsidRDefault="00740248" w:rsidP="00740248">
      <w:pPr>
        <w:rPr>
          <w:lang w:val="ru-RU"/>
        </w:rPr>
      </w:pPr>
      <w:r w:rsidRPr="00597BA5">
        <w:rPr>
          <w:rFonts w:cstheme="minorHAnsi"/>
          <w:noProof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7041630F" wp14:editId="4647FF59">
            <wp:simplePos x="0" y="0"/>
            <wp:positionH relativeFrom="column">
              <wp:posOffset>3533775</wp:posOffset>
            </wp:positionH>
            <wp:positionV relativeFrom="paragraph">
              <wp:posOffset>818515</wp:posOffset>
            </wp:positionV>
            <wp:extent cx="1251585" cy="689610"/>
            <wp:effectExtent l="0" t="0" r="5715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baühenduste-liidu-logo-8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7BA5">
        <w:rPr>
          <w:rFonts w:cstheme="minorHAnsi"/>
          <w:noProof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6FF7B19D" wp14:editId="2CFC307F">
            <wp:simplePos x="0" y="0"/>
            <wp:positionH relativeFrom="column">
              <wp:posOffset>742950</wp:posOffset>
            </wp:positionH>
            <wp:positionV relativeFrom="paragraph">
              <wp:posOffset>814132</wp:posOffset>
            </wp:positionV>
            <wp:extent cx="2658981" cy="694055"/>
            <wp:effectExtent l="0" t="0" r="8255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981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0248" w:rsidRPr="00740248" w:rsidSect="00245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30FEB" w14:textId="77777777" w:rsidR="00A05AA3" w:rsidRDefault="00A05AA3" w:rsidP="00E53D90">
      <w:pPr>
        <w:spacing w:after="0" w:line="240" w:lineRule="auto"/>
      </w:pPr>
      <w:r>
        <w:separator/>
      </w:r>
    </w:p>
  </w:endnote>
  <w:endnote w:type="continuationSeparator" w:id="0">
    <w:p w14:paraId="215062DE" w14:textId="77777777" w:rsidR="00A05AA3" w:rsidRDefault="00A05AA3" w:rsidP="00E5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AEA3D" w14:textId="77777777" w:rsidR="00A05AA3" w:rsidRDefault="00A05AA3" w:rsidP="00E53D90">
      <w:pPr>
        <w:spacing w:after="0" w:line="240" w:lineRule="auto"/>
      </w:pPr>
      <w:r>
        <w:separator/>
      </w:r>
    </w:p>
  </w:footnote>
  <w:footnote w:type="continuationSeparator" w:id="0">
    <w:p w14:paraId="4AC7704E" w14:textId="77777777" w:rsidR="00A05AA3" w:rsidRDefault="00A05AA3" w:rsidP="00E53D90">
      <w:pPr>
        <w:spacing w:after="0" w:line="240" w:lineRule="auto"/>
      </w:pPr>
      <w:r>
        <w:continuationSeparator/>
      </w:r>
    </w:p>
  </w:footnote>
  <w:footnote w:id="1">
    <w:p w14:paraId="7AFBF145" w14:textId="0AFC660F" w:rsidR="00E53D90" w:rsidRPr="008B46D5" w:rsidRDefault="00E53D90">
      <w:pPr>
        <w:pStyle w:val="FootnoteText"/>
        <w:rPr>
          <w:lang w:val="ru-RU"/>
        </w:rPr>
      </w:pPr>
      <w:r w:rsidRPr="008B46D5">
        <w:rPr>
          <w:rStyle w:val="FootnoteReference"/>
          <w:lang w:val="ru-RU"/>
        </w:rPr>
        <w:footnoteRef/>
      </w:r>
      <w:r w:rsidRPr="008B46D5">
        <w:rPr>
          <w:lang w:val="ru-RU"/>
        </w:rPr>
        <w:t xml:space="preserve"> </w:t>
      </w:r>
      <w:r w:rsidRPr="008B46D5">
        <w:rPr>
          <w:lang w:val="ru-RU"/>
        </w:rPr>
        <w:t xml:space="preserve">Заявитель должен соответствовать </w:t>
      </w:r>
      <w:r w:rsidRPr="008B46D5">
        <w:rPr>
          <w:lang w:val="ru-RU"/>
        </w:rPr>
        <w:t xml:space="preserve">критериям приемлемости </w:t>
      </w:r>
      <w:r w:rsidRPr="008B46D5">
        <w:rPr>
          <w:lang w:val="ru-RU"/>
        </w:rPr>
        <w:t>п. 5.1</w:t>
      </w:r>
      <w:r w:rsidRPr="008B46D5">
        <w:rPr>
          <w:lang w:val="ru-RU"/>
        </w:rPr>
        <w:t xml:space="preserve"> в</w:t>
      </w:r>
      <w:r w:rsidRPr="008B46D5">
        <w:rPr>
          <w:lang w:val="ru-RU"/>
        </w:rPr>
        <w:t xml:space="preserve"> </w:t>
      </w:r>
      <w:r w:rsidRPr="008B46D5">
        <w:rPr>
          <w:lang w:val="ru-RU"/>
        </w:rPr>
        <w:t>р</w:t>
      </w:r>
      <w:r w:rsidRPr="008B46D5">
        <w:rPr>
          <w:lang w:val="ru-RU"/>
        </w:rPr>
        <w:t>уководств</w:t>
      </w:r>
      <w:r w:rsidRPr="008B46D5">
        <w:rPr>
          <w:lang w:val="ru-RU"/>
        </w:rPr>
        <w:t>е</w:t>
      </w:r>
      <w:r w:rsidRPr="008B46D5">
        <w:rPr>
          <w:lang w:val="ru-RU"/>
        </w:rPr>
        <w:t xml:space="preserve"> для заявителей и организаторов проектов</w:t>
      </w:r>
      <w:r w:rsidRPr="008B46D5">
        <w:rPr>
          <w:lang w:val="ru-RU"/>
        </w:rPr>
        <w:t xml:space="preserve"> программы </w:t>
      </w:r>
      <w:r w:rsidRPr="008B46D5">
        <w:rPr>
          <w:lang w:val="ru-RU"/>
        </w:rPr>
        <w:t>Фонда Активных Граждан.</w:t>
      </w:r>
    </w:p>
  </w:footnote>
  <w:footnote w:id="2">
    <w:p w14:paraId="4EA94D67" w14:textId="55C9F73B" w:rsidR="008B46D5" w:rsidRPr="008B46D5" w:rsidRDefault="008B46D5">
      <w:pPr>
        <w:pStyle w:val="FootnoteText"/>
        <w:rPr>
          <w:lang w:val="ru-RU"/>
        </w:rPr>
      </w:pPr>
      <w:r w:rsidRPr="008B46D5">
        <w:rPr>
          <w:rStyle w:val="FootnoteReference"/>
          <w:lang w:val="ru-RU"/>
        </w:rPr>
        <w:footnoteRef/>
      </w:r>
      <w:r w:rsidRPr="008B46D5">
        <w:rPr>
          <w:lang w:val="ru-RU"/>
        </w:rPr>
        <w:t xml:space="preserve"> </w:t>
      </w:r>
      <w:r w:rsidRPr="008B46D5">
        <w:rPr>
          <w:lang w:val="ru-RU"/>
        </w:rPr>
        <w:t xml:space="preserve">Приемлемые </w:t>
      </w:r>
      <w:r w:rsidRPr="008B46D5">
        <w:rPr>
          <w:lang w:val="ru-RU"/>
        </w:rPr>
        <w:t>расходы</w:t>
      </w:r>
      <w:r w:rsidRPr="008B46D5">
        <w:rPr>
          <w:lang w:val="ru-RU"/>
        </w:rPr>
        <w:t xml:space="preserve"> описаны в руководстве </w:t>
      </w:r>
      <w:r w:rsidRPr="008B46D5">
        <w:rPr>
          <w:rFonts w:eastAsia="Times New Roman" w:cstheme="minorHAnsi"/>
          <w:color w:val="000000"/>
          <w:lang w:val="ru-RU" w:eastAsia="en-GB"/>
        </w:rPr>
        <w:t>Фондом Активных Граждан</w:t>
      </w:r>
      <w:r w:rsidRPr="008B46D5">
        <w:rPr>
          <w:lang w:val="ru-RU"/>
        </w:rPr>
        <w:t xml:space="preserve">, </w:t>
      </w:r>
      <w:r w:rsidRPr="008B46D5">
        <w:rPr>
          <w:lang w:val="ru-RU"/>
        </w:rPr>
        <w:t>п</w:t>
      </w:r>
      <w:r w:rsidRPr="008B46D5">
        <w:rPr>
          <w:lang w:val="ru-RU"/>
        </w:rPr>
        <w:t>. 6</w:t>
      </w:r>
      <w:r w:rsidRPr="008B46D5">
        <w:rPr>
          <w:lang w:val="ru-RU"/>
        </w:rPr>
        <w:t>.</w:t>
      </w:r>
      <w:r w:rsidRPr="008B46D5">
        <w:rPr>
          <w:lang w:val="ru-RU"/>
        </w:rPr>
        <w:t xml:space="preserve">1 </w:t>
      </w:r>
      <w:r w:rsidRPr="008B46D5">
        <w:rPr>
          <w:lang w:val="ru-RU"/>
        </w:rPr>
        <w:t>–</w:t>
      </w:r>
      <w:r w:rsidRPr="008B46D5">
        <w:rPr>
          <w:lang w:val="ru-RU"/>
        </w:rPr>
        <w:t xml:space="preserve"> 6</w:t>
      </w:r>
      <w:r w:rsidRPr="008B46D5">
        <w:rPr>
          <w:lang w:val="ru-RU"/>
        </w:rPr>
        <w:t>.</w:t>
      </w:r>
      <w:r w:rsidRPr="008B46D5">
        <w:rPr>
          <w:lang w:val="ru-RU"/>
        </w:rPr>
        <w:t>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15FA"/>
    <w:multiLevelType w:val="hybridMultilevel"/>
    <w:tmpl w:val="73FCE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A2F08"/>
    <w:multiLevelType w:val="hybridMultilevel"/>
    <w:tmpl w:val="F5F093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55C5F"/>
    <w:multiLevelType w:val="hybridMultilevel"/>
    <w:tmpl w:val="CDACD3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87513"/>
    <w:multiLevelType w:val="hybridMultilevel"/>
    <w:tmpl w:val="4D9CAA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154BF"/>
    <w:multiLevelType w:val="hybridMultilevel"/>
    <w:tmpl w:val="B5DE83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90"/>
    <w:rsid w:val="00245BA5"/>
    <w:rsid w:val="00266722"/>
    <w:rsid w:val="005411CE"/>
    <w:rsid w:val="00740248"/>
    <w:rsid w:val="008B46D5"/>
    <w:rsid w:val="00A05AA3"/>
    <w:rsid w:val="00E53D90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3BB5"/>
  <w15:chartTrackingRefBased/>
  <w15:docId w15:val="{FD4644F0-2063-4DE7-957E-CB5B8F0C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3D90"/>
    <w:rPr>
      <w:b/>
      <w:bCs/>
    </w:rPr>
  </w:style>
  <w:style w:type="table" w:styleId="TableGrid">
    <w:name w:val="Table Grid"/>
    <w:basedOn w:val="TableNormal"/>
    <w:uiPriority w:val="39"/>
    <w:rsid w:val="00E5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53D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D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3D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B46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31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50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29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9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katrin@oef.org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f@oef.org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20A64-0431-4060-A233-0C3B7BF1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658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Gutnitšenko</dc:creator>
  <cp:keywords/>
  <dc:description/>
  <cp:lastModifiedBy>Ksenia Gutnitšenko</cp:lastModifiedBy>
  <cp:revision>2</cp:revision>
  <dcterms:created xsi:type="dcterms:W3CDTF">2021-07-13T08:14:00Z</dcterms:created>
  <dcterms:modified xsi:type="dcterms:W3CDTF">2021-07-13T08:37:00Z</dcterms:modified>
</cp:coreProperties>
</file>